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F04C0B"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030EB547" w:rsidR="008D7E3A" w:rsidRDefault="008D7E3A" w:rsidP="008D7E3A">
      <w:pPr>
        <w:ind w:left="144" w:right="144"/>
        <w:jc w:val="center"/>
        <w:rPr>
          <w:sz w:val="20"/>
          <w:szCs w:val="20"/>
        </w:rPr>
      </w:pPr>
      <w:r>
        <w:rPr>
          <w:b/>
          <w:bCs/>
          <w:sz w:val="20"/>
          <w:szCs w:val="20"/>
        </w:rPr>
        <w:t>Date of report (Date of earliest event reported):  </w:t>
      </w:r>
      <w:r w:rsidR="00851166">
        <w:rPr>
          <w:b/>
          <w:bCs/>
          <w:sz w:val="20"/>
          <w:szCs w:val="20"/>
        </w:rPr>
        <w:t>November</w:t>
      </w:r>
      <w:r w:rsidR="004D4E0A">
        <w:rPr>
          <w:b/>
          <w:bCs/>
          <w:sz w:val="20"/>
          <w:szCs w:val="20"/>
        </w:rPr>
        <w:t xml:space="preserve"> </w:t>
      </w:r>
      <w:r w:rsidR="00851166">
        <w:rPr>
          <w:b/>
          <w:bCs/>
          <w:sz w:val="20"/>
          <w:szCs w:val="20"/>
        </w:rPr>
        <w:t>8</w:t>
      </w:r>
      <w:r>
        <w:rPr>
          <w:b/>
          <w:bCs/>
          <w:sz w:val="20"/>
          <w:szCs w:val="20"/>
        </w:rPr>
        <w:t>, 202</w:t>
      </w:r>
      <w:r w:rsidR="00F470EC">
        <w:rPr>
          <w:b/>
          <w:bCs/>
          <w:sz w:val="20"/>
          <w:szCs w:val="20"/>
        </w:rPr>
        <w:t>3</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F04C0B"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 xml:space="preserve">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w:t>
      </w:r>
      <w:proofErr w:type="gramStart"/>
      <w:r>
        <w:rPr>
          <w:sz w:val="20"/>
          <w:szCs w:val="20"/>
        </w:rPr>
        <w:t>assumptions</w:t>
      </w:r>
      <w:proofErr w:type="gramEnd"/>
      <w:r>
        <w:rPr>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5B52371F" w:rsidR="003F3DEB" w:rsidRDefault="003F3DEB" w:rsidP="003F3DEB">
      <w:pPr>
        <w:ind w:left="144" w:right="144"/>
        <w:jc w:val="both"/>
        <w:rPr>
          <w:sz w:val="20"/>
          <w:szCs w:val="20"/>
        </w:rPr>
      </w:pPr>
      <w:r>
        <w:rPr>
          <w:bCs/>
          <w:sz w:val="20"/>
          <w:szCs w:val="20"/>
        </w:rPr>
        <w:t xml:space="preserve">On </w:t>
      </w:r>
      <w:r w:rsidR="00851166">
        <w:rPr>
          <w:bCs/>
          <w:sz w:val="20"/>
          <w:szCs w:val="20"/>
        </w:rPr>
        <w:t>November</w:t>
      </w:r>
      <w:r>
        <w:rPr>
          <w:bCs/>
          <w:sz w:val="20"/>
          <w:szCs w:val="20"/>
        </w:rPr>
        <w:t xml:space="preserve"> </w:t>
      </w:r>
      <w:r w:rsidR="00851166">
        <w:rPr>
          <w:bCs/>
          <w:sz w:val="20"/>
          <w:szCs w:val="20"/>
        </w:rPr>
        <w:t>8</w:t>
      </w:r>
      <w:r>
        <w:rPr>
          <w:bCs/>
          <w:sz w:val="20"/>
          <w:szCs w:val="20"/>
        </w:rPr>
        <w:t>, 202</w:t>
      </w:r>
      <w:r w:rsidR="00F470EC">
        <w:rPr>
          <w:bCs/>
          <w:sz w:val="20"/>
          <w:szCs w:val="20"/>
        </w:rPr>
        <w:t>3</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516CAC">
        <w:rPr>
          <w:bCs/>
          <w:sz w:val="20"/>
          <w:szCs w:val="20"/>
        </w:rPr>
        <w:t>quarter</w:t>
      </w:r>
      <w:r>
        <w:rPr>
          <w:bCs/>
          <w:sz w:val="20"/>
          <w:szCs w:val="20"/>
        </w:rPr>
        <w:t xml:space="preserve"> ended </w:t>
      </w:r>
      <w:r w:rsidR="00851166">
        <w:rPr>
          <w:bCs/>
          <w:sz w:val="20"/>
          <w:szCs w:val="20"/>
        </w:rPr>
        <w:t>September</w:t>
      </w:r>
      <w:r w:rsidR="00F470EC">
        <w:rPr>
          <w:bCs/>
          <w:sz w:val="20"/>
          <w:szCs w:val="20"/>
        </w:rPr>
        <w:t xml:space="preserve"> 3</w:t>
      </w:r>
      <w:r w:rsidR="00AC4D41">
        <w:rPr>
          <w:bCs/>
          <w:sz w:val="20"/>
          <w:szCs w:val="20"/>
        </w:rPr>
        <w:t>0</w:t>
      </w:r>
      <w:r>
        <w:rPr>
          <w:bCs/>
          <w:sz w:val="20"/>
          <w:szCs w:val="20"/>
        </w:rPr>
        <w:t>, 202</w:t>
      </w:r>
      <w:r w:rsidR="00516CAC">
        <w:rPr>
          <w:bCs/>
          <w:sz w:val="20"/>
          <w:szCs w:val="20"/>
        </w:rPr>
        <w:t>3</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738B0AB8" w:rsidR="008D7E3A" w:rsidRDefault="00EC3F8A" w:rsidP="00EC3F8A">
            <w:pPr>
              <w:rPr>
                <w:sz w:val="20"/>
                <w:szCs w:val="20"/>
              </w:rPr>
            </w:pPr>
            <w:r w:rsidRPr="00B02C57">
              <w:rPr>
                <w:bCs/>
                <w:sz w:val="20"/>
                <w:szCs w:val="20"/>
              </w:rPr>
              <w:t xml:space="preserve">Press Release dated </w:t>
            </w:r>
            <w:r w:rsidR="00851166">
              <w:rPr>
                <w:bCs/>
                <w:sz w:val="20"/>
                <w:szCs w:val="20"/>
              </w:rPr>
              <w:t>November</w:t>
            </w:r>
            <w:r w:rsidR="00B02C57" w:rsidRPr="00B02C57">
              <w:rPr>
                <w:bCs/>
                <w:sz w:val="20"/>
                <w:szCs w:val="20"/>
              </w:rPr>
              <w:t xml:space="preserve"> </w:t>
            </w:r>
            <w:r w:rsidR="00851166">
              <w:rPr>
                <w:bCs/>
                <w:sz w:val="20"/>
                <w:szCs w:val="20"/>
              </w:rPr>
              <w:t>8</w:t>
            </w:r>
            <w:r w:rsidRPr="00B02C57">
              <w:rPr>
                <w:bCs/>
                <w:sz w:val="20"/>
                <w:szCs w:val="20"/>
              </w:rPr>
              <w:t>, 202</w:t>
            </w:r>
            <w:r w:rsidR="00F470EC">
              <w:rPr>
                <w:bCs/>
                <w:sz w:val="20"/>
                <w:szCs w:val="20"/>
              </w:rPr>
              <w:t>3</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4E0EFBC" w:rsidR="008D7E3A" w:rsidRDefault="008D7E3A" w:rsidP="008D7E3A">
      <w:pPr>
        <w:ind w:left="144" w:right="144"/>
        <w:rPr>
          <w:sz w:val="20"/>
          <w:szCs w:val="20"/>
        </w:rPr>
      </w:pPr>
      <w:r>
        <w:rPr>
          <w:sz w:val="20"/>
          <w:szCs w:val="20"/>
        </w:rPr>
        <w:t xml:space="preserve">Date: </w:t>
      </w:r>
      <w:r w:rsidR="00851166">
        <w:rPr>
          <w:sz w:val="20"/>
          <w:szCs w:val="20"/>
        </w:rPr>
        <w:t>November</w:t>
      </w:r>
      <w:r w:rsidR="004D4E0A">
        <w:rPr>
          <w:sz w:val="20"/>
          <w:szCs w:val="20"/>
        </w:rPr>
        <w:t xml:space="preserve"> </w:t>
      </w:r>
      <w:r w:rsidR="00851166">
        <w:rPr>
          <w:sz w:val="20"/>
          <w:szCs w:val="20"/>
        </w:rPr>
        <w:t>9</w:t>
      </w:r>
      <w:r>
        <w:rPr>
          <w:sz w:val="20"/>
          <w:szCs w:val="20"/>
        </w:rPr>
        <w:t>, 202</w:t>
      </w:r>
      <w:r w:rsidR="00F470EC">
        <w:rPr>
          <w:sz w:val="20"/>
          <w:szCs w:val="20"/>
        </w:rPr>
        <w:t>3</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14BA7A79" w14:textId="77777777" w:rsidR="00F04C0B" w:rsidRDefault="00F04C0B" w:rsidP="008D7E3A">
      <w:pPr>
        <w:sectPr w:rsidR="00F04C0B">
          <w:footerReference w:type="default" r:id="rId8"/>
          <w:pgSz w:w="12240" w:h="15840"/>
          <w:pgMar w:top="576" w:right="720" w:bottom="576" w:left="720" w:header="144" w:footer="432" w:gutter="0"/>
          <w:cols w:space="720"/>
        </w:sectPr>
      </w:pPr>
    </w:p>
    <w:p w14:paraId="62F41215" w14:textId="5405A0BE" w:rsidR="00F04C0B" w:rsidRPr="00F04C0B" w:rsidRDefault="00F04C0B" w:rsidP="00F04C0B">
      <w:pPr>
        <w:jc w:val="center"/>
        <w:rPr>
          <w:bCs/>
          <w:color w:val="000000"/>
          <w:sz w:val="22"/>
          <w:szCs w:val="22"/>
        </w:rPr>
      </w:pPr>
      <w:r w:rsidRPr="00F04C0B">
        <w:rPr>
          <w:bCs/>
          <w:noProof/>
          <w:color w:val="000000"/>
          <w:sz w:val="22"/>
          <w:szCs w:val="22"/>
        </w:rPr>
        <w:lastRenderedPageBreak/>
        <mc:AlternateContent>
          <mc:Choice Requires="wps">
            <w:drawing>
              <wp:anchor distT="45720" distB="45720" distL="114300" distR="114300" simplePos="0" relativeHeight="251659264" behindDoc="1" locked="0" layoutInCell="1" allowOverlap="1" wp14:anchorId="0FD9BAE6" wp14:editId="7F7E5F8C">
                <wp:simplePos x="0" y="0"/>
                <wp:positionH relativeFrom="column">
                  <wp:posOffset>5434965</wp:posOffset>
                </wp:positionH>
                <wp:positionV relativeFrom="paragraph">
                  <wp:posOffset>-345440</wp:posOffset>
                </wp:positionV>
                <wp:extent cx="12433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404620"/>
                        </a:xfrm>
                        <a:prstGeom prst="rect">
                          <a:avLst/>
                        </a:prstGeom>
                        <a:solidFill>
                          <a:srgbClr val="FFFFFF"/>
                        </a:solidFill>
                        <a:ln w="9525">
                          <a:noFill/>
                          <a:miter lim="800000"/>
                          <a:headEnd/>
                          <a:tailEnd/>
                        </a:ln>
                      </wps:spPr>
                      <wps:txbx>
                        <w:txbxContent>
                          <w:p w14:paraId="79AE9629" w14:textId="041B5945" w:rsidR="00F04C0B" w:rsidRPr="00F04C0B" w:rsidRDefault="00F04C0B">
                            <w:pPr>
                              <w:rPr>
                                <w:b/>
                                <w:bCs/>
                              </w:rPr>
                            </w:pPr>
                            <w:r w:rsidRPr="00F04C0B">
                              <w:rPr>
                                <w:b/>
                                <w:bCs/>
                              </w:rPr>
                              <w:t>Exhibit 99.1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9BAE6" id="_x0000_t202" coordsize="21600,21600" o:spt="202" path="m,l,21600r21600,l21600,xe">
                <v:stroke joinstyle="miter"/>
                <v:path gradientshapeok="t" o:connecttype="rect"/>
              </v:shapetype>
              <v:shape id="Text Box 2" o:spid="_x0000_s1026" type="#_x0000_t202" style="position:absolute;left:0;text-align:left;margin-left:427.95pt;margin-top:-27.2pt;width:97.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" stroked="f">
                <v:textbox style="mso-fit-shape-to-text:t">
                  <w:txbxContent>
                    <w:p w14:paraId="79AE9629" w14:textId="041B5945" w:rsidR="00F04C0B" w:rsidRPr="00F04C0B" w:rsidRDefault="00F04C0B">
                      <w:pPr>
                        <w:rPr>
                          <w:b/>
                          <w:bCs/>
                        </w:rPr>
                      </w:pPr>
                      <w:r w:rsidRPr="00F04C0B">
                        <w:rPr>
                          <w:b/>
                          <w:bCs/>
                        </w:rPr>
                        <w:t>Exhibit 99.1</w:t>
                      </w:r>
                    </w:p>
                  </w:txbxContent>
                </v:textbox>
              </v:shape>
            </w:pict>
          </mc:Fallback>
        </mc:AlternateContent>
      </w:r>
    </w:p>
    <w:p w14:paraId="48669BD3" w14:textId="2457B69E" w:rsidR="00F04C0B" w:rsidRPr="00F04C0B" w:rsidRDefault="00F04C0B" w:rsidP="00F04C0B">
      <w:pPr>
        <w:jc w:val="center"/>
        <w:rPr>
          <w:b/>
          <w:color w:val="000000"/>
          <w:sz w:val="40"/>
          <w:szCs w:val="40"/>
        </w:rPr>
      </w:pPr>
      <w:r w:rsidRPr="00F04C0B">
        <w:rPr>
          <w:b/>
          <w:color w:val="000000"/>
          <w:sz w:val="40"/>
          <w:szCs w:val="40"/>
        </w:rPr>
        <w:t>GeoVax Reports Third Quarter 2023 Financial Results and Provides Business Update</w:t>
      </w:r>
    </w:p>
    <w:p w14:paraId="2374D295" w14:textId="77777777" w:rsidR="00F04C0B" w:rsidRPr="00F04C0B" w:rsidRDefault="00F04C0B" w:rsidP="00F04C0B">
      <w:pPr>
        <w:jc w:val="center"/>
        <w:rPr>
          <w:bCs/>
          <w:i/>
          <w:iCs/>
          <w:color w:val="000000"/>
          <w:sz w:val="22"/>
          <w:szCs w:val="22"/>
          <w:highlight w:val="yellow"/>
        </w:rPr>
      </w:pPr>
    </w:p>
    <w:p w14:paraId="53BF6B4E" w14:textId="77777777" w:rsidR="00F04C0B" w:rsidRPr="00F04C0B" w:rsidRDefault="00F04C0B" w:rsidP="00F04C0B">
      <w:pPr>
        <w:rPr>
          <w:bCs/>
          <w:i/>
          <w:iCs/>
          <w:color w:val="000000"/>
          <w:sz w:val="22"/>
          <w:szCs w:val="22"/>
        </w:rPr>
      </w:pPr>
      <w:r w:rsidRPr="00F04C0B">
        <w:rPr>
          <w:bCs/>
          <w:i/>
          <w:iCs/>
          <w:color w:val="000000"/>
          <w:sz w:val="22"/>
          <w:szCs w:val="22"/>
        </w:rPr>
        <w:t>Significant Progress towards data milestones in Phase 2 Program of GEO-CM04S1, Next-generation COVID-19 vaccine</w:t>
      </w:r>
    </w:p>
    <w:p w14:paraId="71846C9E" w14:textId="77777777" w:rsidR="00F04C0B" w:rsidRPr="00F04C0B" w:rsidRDefault="00F04C0B" w:rsidP="00F04C0B">
      <w:pPr>
        <w:rPr>
          <w:bCs/>
          <w:i/>
          <w:iCs/>
          <w:color w:val="000000"/>
          <w:sz w:val="22"/>
          <w:szCs w:val="22"/>
        </w:rPr>
      </w:pPr>
    </w:p>
    <w:p w14:paraId="0047EF13" w14:textId="77777777" w:rsidR="00F04C0B" w:rsidRPr="00F04C0B" w:rsidRDefault="00F04C0B" w:rsidP="00F04C0B">
      <w:pPr>
        <w:rPr>
          <w:bCs/>
          <w:i/>
          <w:iCs/>
          <w:color w:val="000000"/>
          <w:sz w:val="22"/>
          <w:szCs w:val="22"/>
        </w:rPr>
      </w:pPr>
      <w:r w:rsidRPr="00F04C0B">
        <w:rPr>
          <w:rFonts w:eastAsia="Calibri"/>
          <w:i/>
          <w:iCs/>
          <w:kern w:val="2"/>
          <w:sz w:val="22"/>
          <w:szCs w:val="22"/>
          <w14:ligatures w14:val="standardContextual"/>
        </w:rPr>
        <w:t>Gedeptin</w:t>
      </w:r>
      <w:r w:rsidRPr="00F04C0B">
        <w:rPr>
          <w:rFonts w:eastAsia="Calibri"/>
          <w:i/>
          <w:iCs/>
          <w:kern w:val="2"/>
          <w:sz w:val="22"/>
          <w:szCs w:val="22"/>
          <w:vertAlign w:val="superscript"/>
          <w14:ligatures w14:val="standardContextual"/>
        </w:rPr>
        <w:t>®</w:t>
      </w:r>
      <w:r w:rsidRPr="00F04C0B">
        <w:rPr>
          <w:rFonts w:eastAsia="Calibri"/>
          <w:i/>
          <w:iCs/>
          <w:kern w:val="2"/>
          <w:sz w:val="22"/>
          <w:szCs w:val="22"/>
          <w14:ligatures w14:val="standardContextual"/>
        </w:rPr>
        <w:t xml:space="preserve"> clinical data from Phase 1/2 study</w:t>
      </w:r>
      <w:r w:rsidRPr="00F04C0B">
        <w:rPr>
          <w:bCs/>
          <w:i/>
          <w:iCs/>
          <w:color w:val="000000"/>
          <w:sz w:val="22"/>
          <w:szCs w:val="22"/>
        </w:rPr>
        <w:t xml:space="preserve"> presented at AACR-AHNS Head and Neck Cancer Conference showing safe administration and tumor reduction</w:t>
      </w:r>
    </w:p>
    <w:p w14:paraId="62AB612D" w14:textId="77777777" w:rsidR="00F04C0B" w:rsidRPr="00F04C0B" w:rsidRDefault="00F04C0B" w:rsidP="00F04C0B">
      <w:pPr>
        <w:rPr>
          <w:bCs/>
          <w:i/>
          <w:iCs/>
          <w:color w:val="000000"/>
          <w:sz w:val="22"/>
          <w:szCs w:val="22"/>
        </w:rPr>
      </w:pPr>
    </w:p>
    <w:p w14:paraId="63BBDACE" w14:textId="77777777" w:rsidR="00F04C0B" w:rsidRPr="00F04C0B" w:rsidRDefault="00F04C0B" w:rsidP="00F04C0B">
      <w:pPr>
        <w:rPr>
          <w:bCs/>
          <w:i/>
          <w:iCs/>
          <w:color w:val="000000"/>
          <w:sz w:val="22"/>
          <w:szCs w:val="22"/>
        </w:rPr>
      </w:pPr>
      <w:r w:rsidRPr="00F04C0B">
        <w:rPr>
          <w:bCs/>
          <w:i/>
          <w:iCs/>
          <w:color w:val="000000"/>
          <w:sz w:val="22"/>
          <w:szCs w:val="22"/>
        </w:rPr>
        <w:t>Multi-Product License Secured for ProBioGen's AGE1.CR.pIX® suspension cell line to enhance manufacturing capabilities of MVA-based vaccine portfolio</w:t>
      </w:r>
    </w:p>
    <w:p w14:paraId="38C608CC" w14:textId="77777777" w:rsidR="00F04C0B" w:rsidRPr="00F04C0B" w:rsidRDefault="00F04C0B" w:rsidP="00F04C0B">
      <w:pPr>
        <w:jc w:val="center"/>
        <w:rPr>
          <w:bCs/>
          <w:i/>
          <w:iCs/>
          <w:color w:val="000000"/>
          <w:sz w:val="22"/>
          <w:szCs w:val="22"/>
        </w:rPr>
      </w:pPr>
    </w:p>
    <w:p w14:paraId="204C4C88" w14:textId="77777777" w:rsidR="00F04C0B" w:rsidRPr="00F04C0B" w:rsidRDefault="00F04C0B" w:rsidP="00F04C0B">
      <w:pPr>
        <w:jc w:val="center"/>
        <w:rPr>
          <w:bCs/>
          <w:i/>
          <w:iCs/>
          <w:color w:val="000000"/>
          <w:sz w:val="22"/>
          <w:szCs w:val="22"/>
        </w:rPr>
      </w:pPr>
      <w:r w:rsidRPr="00F04C0B">
        <w:rPr>
          <w:bCs/>
          <w:i/>
          <w:iCs/>
          <w:color w:val="000000"/>
          <w:sz w:val="22"/>
          <w:szCs w:val="22"/>
        </w:rPr>
        <w:t>Company to host conference call and webcast today at 4:30 p.m. ET</w:t>
      </w:r>
    </w:p>
    <w:p w14:paraId="2A20CFC1" w14:textId="77777777" w:rsidR="00F04C0B" w:rsidRPr="00F04C0B" w:rsidRDefault="00F04C0B" w:rsidP="00F04C0B">
      <w:pPr>
        <w:tabs>
          <w:tab w:val="left" w:pos="6399"/>
        </w:tabs>
      </w:pPr>
    </w:p>
    <w:p w14:paraId="47CEEA7E" w14:textId="77777777" w:rsidR="00F04C0B" w:rsidRPr="00F04C0B" w:rsidRDefault="00F04C0B" w:rsidP="00F04C0B">
      <w:pPr>
        <w:widowControl w:val="0"/>
        <w:autoSpaceDE w:val="0"/>
        <w:autoSpaceDN w:val="0"/>
        <w:adjustRightInd w:val="0"/>
        <w:jc w:val="both"/>
        <w:rPr>
          <w:bCs/>
          <w:sz w:val="22"/>
          <w:szCs w:val="22"/>
        </w:rPr>
      </w:pPr>
      <w:r w:rsidRPr="00F04C0B">
        <w:rPr>
          <w:b/>
          <w:color w:val="000000"/>
          <w:sz w:val="22"/>
          <w:szCs w:val="22"/>
        </w:rPr>
        <w:t>ATLANTA, GA, November 8, 2023 –</w:t>
      </w:r>
      <w:r w:rsidRPr="00F04C0B">
        <w:rPr>
          <w:color w:val="000000"/>
          <w:sz w:val="22"/>
          <w:szCs w:val="22"/>
        </w:rPr>
        <w:t xml:space="preserve"> GeoVax Labs, Inc. (Nasdaq: GOVX), a biotechnology company developing immunotherapies and vaccines against cancers and infectious diseases, </w:t>
      </w:r>
      <w:r w:rsidRPr="00F04C0B">
        <w:rPr>
          <w:rFonts w:eastAsia="Calibri"/>
          <w:kern w:val="2"/>
          <w:sz w:val="22"/>
          <w:szCs w:val="22"/>
          <w14:ligatures w14:val="standardContextual"/>
        </w:rPr>
        <w:t xml:space="preserve">today announced financial results for the third quarter ended September 30, 2023 and provided a business update. </w:t>
      </w:r>
    </w:p>
    <w:p w14:paraId="6806B345" w14:textId="77777777" w:rsidR="00F04C0B" w:rsidRPr="00F04C0B" w:rsidRDefault="00F04C0B" w:rsidP="00F04C0B">
      <w:pPr>
        <w:jc w:val="both"/>
        <w:rPr>
          <w:rFonts w:eastAsia="Calibri"/>
          <w:kern w:val="2"/>
          <w:sz w:val="22"/>
          <w:szCs w:val="22"/>
          <w14:ligatures w14:val="standardContextual"/>
        </w:rPr>
      </w:pPr>
    </w:p>
    <w:p w14:paraId="6418538D" w14:textId="77777777" w:rsidR="00F04C0B" w:rsidRPr="00F04C0B" w:rsidRDefault="00F04C0B" w:rsidP="00F04C0B">
      <w:pPr>
        <w:jc w:val="both"/>
        <w:rPr>
          <w:rFonts w:eastAsia="Calibri"/>
          <w:kern w:val="2"/>
          <w:sz w:val="22"/>
          <w:szCs w:val="22"/>
          <w14:ligatures w14:val="standardContextual"/>
        </w:rPr>
      </w:pPr>
      <w:r w:rsidRPr="00F04C0B">
        <w:rPr>
          <w:rFonts w:eastAsia="Calibri"/>
          <w:kern w:val="2"/>
          <w:sz w:val="22"/>
          <w:szCs w:val="22"/>
          <w14:ligatures w14:val="standardContextual"/>
        </w:rPr>
        <w:t>“We are thrilled to see material advancements across all aspects of our business. Through the third quarter, we are delivering on our promise to bring transformative change to the treatment of COVID-19 by completing enrollment in our healthy volunteer Phase 2 clinical trial evaluating GEO-CM04S1 as a potentially more robust, more durable booster vaccine In addition, with two additional Phase 2 trials ongoing in immunocompromised population, and recent publication of positive safety and potent immunogenicity data in this population, we have strengthened our conviction in the potential of our next-generation COVID-19 vaccine (GEO-CM04S1) for immunocompromised patients. We believe the need for new treatment options for immunocompromised patients in the fight against COVID-19 is significant, particularly as we begin to enter the winter surges of this diseases, where these patients will be left most vulnerable,” said David Dodd, Chief Executive Officer of GeoVax.</w:t>
      </w:r>
    </w:p>
    <w:p w14:paraId="144A413C" w14:textId="77777777" w:rsidR="00F04C0B" w:rsidRPr="00F04C0B" w:rsidRDefault="00F04C0B" w:rsidP="00F04C0B">
      <w:pPr>
        <w:jc w:val="both"/>
        <w:rPr>
          <w:rFonts w:eastAsia="Calibri"/>
          <w:kern w:val="2"/>
          <w:sz w:val="22"/>
          <w:szCs w:val="22"/>
          <w14:ligatures w14:val="standardContextual"/>
        </w:rPr>
      </w:pPr>
    </w:p>
    <w:p w14:paraId="7FB55BAE" w14:textId="77777777" w:rsidR="00F04C0B" w:rsidRPr="00F04C0B" w:rsidRDefault="00F04C0B" w:rsidP="00F04C0B">
      <w:pPr>
        <w:jc w:val="both"/>
        <w:rPr>
          <w:rFonts w:eastAsia="Calibri"/>
          <w:kern w:val="2"/>
          <w:sz w:val="22"/>
          <w:szCs w:val="22"/>
          <w14:ligatures w14:val="standardContextual"/>
        </w:rPr>
      </w:pPr>
      <w:r w:rsidRPr="00F04C0B">
        <w:rPr>
          <w:rFonts w:eastAsia="Calibri"/>
          <w:kern w:val="2"/>
          <w:sz w:val="22"/>
          <w:szCs w:val="22"/>
          <w14:ligatures w14:val="standardContextual"/>
        </w:rPr>
        <w:t>“We are preparing to announce initial data readouts from two of our Phase 2 GEO-CM04S1 trials as well as updates from our Gedeptin</w:t>
      </w:r>
      <w:r w:rsidRPr="00F04C0B">
        <w:rPr>
          <w:rFonts w:eastAsia="Calibri"/>
          <w:kern w:val="2"/>
          <w:sz w:val="22"/>
          <w:szCs w:val="22"/>
          <w:vertAlign w:val="superscript"/>
          <w14:ligatures w14:val="standardContextual"/>
        </w:rPr>
        <w:t xml:space="preserve">® </w:t>
      </w:r>
      <w:r w:rsidRPr="00F04C0B">
        <w:rPr>
          <w:rFonts w:eastAsia="Calibri"/>
          <w:kern w:val="2"/>
          <w:sz w:val="22"/>
          <w:szCs w:val="22"/>
          <w14:ligatures w14:val="standardContextual"/>
        </w:rPr>
        <w:t>clinical trial against head and neck cancer in the coming months. Earlier this summer, we were delighted to present clinical data which revealed the safe and feasible administration of Gedeptin</w:t>
      </w:r>
      <w:r w:rsidRPr="00F04C0B">
        <w:rPr>
          <w:rFonts w:eastAsia="Calibri"/>
          <w:kern w:val="2"/>
          <w:sz w:val="22"/>
          <w:szCs w:val="22"/>
          <w:vertAlign w:val="superscript"/>
          <w14:ligatures w14:val="standardContextual"/>
        </w:rPr>
        <w:t>®</w:t>
      </w:r>
      <w:r w:rsidRPr="00F04C0B">
        <w:rPr>
          <w:rFonts w:eastAsia="Calibri"/>
          <w:kern w:val="2"/>
          <w:sz w:val="22"/>
          <w:szCs w:val="22"/>
          <w14:ligatures w14:val="standardContextual"/>
        </w:rPr>
        <w:t>. We believe the Gedeptin mechanism of action to be solid tumor agnostic, and therefore offers the potential as a therapeutic option for multiple cancer types and positions the product</w:t>
      </w:r>
      <w:r w:rsidRPr="00F04C0B">
        <w:rPr>
          <w:rFonts w:eastAsia="Calibri"/>
          <w:kern w:val="2"/>
          <w:sz w:val="22"/>
          <w:szCs w:val="22"/>
          <w:vertAlign w:val="superscript"/>
          <w14:ligatures w14:val="standardContextual"/>
        </w:rPr>
        <w:t xml:space="preserve"> </w:t>
      </w:r>
      <w:r w:rsidRPr="00F04C0B">
        <w:rPr>
          <w:rFonts w:eastAsia="Calibri"/>
          <w:kern w:val="2"/>
          <w:sz w:val="22"/>
          <w:szCs w:val="22"/>
          <w14:ligatures w14:val="standardContextual"/>
        </w:rPr>
        <w:t xml:space="preserve">for long-term growth. The third quarter of 2023 also saw new patents issued for our Ebola, Marburg, Malaria, and HIV vaccines, demonstrating the strength of our team’s ability to execute on our broader strategy. In addition, we advanced our manufacturing process through the signing of a landmark multi-product commercial license agreement with </w:t>
      </w:r>
      <w:proofErr w:type="spellStart"/>
      <w:r w:rsidRPr="00F04C0B">
        <w:rPr>
          <w:rFonts w:eastAsia="Calibri"/>
          <w:kern w:val="2"/>
          <w:sz w:val="22"/>
          <w:szCs w:val="22"/>
          <w14:ligatures w14:val="standardContextual"/>
        </w:rPr>
        <w:t>ProBioGen</w:t>
      </w:r>
      <w:proofErr w:type="spellEnd"/>
      <w:r w:rsidRPr="00F04C0B">
        <w:rPr>
          <w:rFonts w:eastAsia="Calibri"/>
          <w:kern w:val="2"/>
          <w:sz w:val="22"/>
          <w:szCs w:val="22"/>
          <w14:ligatures w14:val="standardContextual"/>
        </w:rPr>
        <w:t xml:space="preserve"> for the use of their AGE1.CR.PIX</w:t>
      </w:r>
      <w:r w:rsidRPr="00F04C0B">
        <w:rPr>
          <w:rFonts w:eastAsia="Calibri"/>
          <w:kern w:val="2"/>
          <w:sz w:val="22"/>
          <w:szCs w:val="22"/>
          <w:vertAlign w:val="superscript"/>
          <w14:ligatures w14:val="standardContextual"/>
        </w:rPr>
        <w:t>®</w:t>
      </w:r>
      <w:r w:rsidRPr="00F04C0B">
        <w:rPr>
          <w:rFonts w:eastAsia="Calibri"/>
          <w:kern w:val="2"/>
          <w:sz w:val="22"/>
          <w:szCs w:val="22"/>
          <w14:ligatures w14:val="standardContextual"/>
        </w:rPr>
        <w:t>suspension cell line. We believe that these catalysts altogether will have a profound impact on patients in need and all our stakeholders.”</w:t>
      </w:r>
    </w:p>
    <w:p w14:paraId="6B8B2DF3" w14:textId="77777777" w:rsidR="00F04C0B" w:rsidRPr="00F04C0B" w:rsidRDefault="00F04C0B" w:rsidP="00F04C0B">
      <w:pPr>
        <w:jc w:val="both"/>
        <w:rPr>
          <w:rFonts w:eastAsia="Calibri"/>
          <w:kern w:val="2"/>
          <w:sz w:val="22"/>
          <w:szCs w:val="22"/>
          <w14:ligatures w14:val="standardContextual"/>
        </w:rPr>
      </w:pPr>
    </w:p>
    <w:p w14:paraId="556EBA56"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Recent Business Achievements</w:t>
      </w:r>
    </w:p>
    <w:p w14:paraId="13EF6736" w14:textId="77777777" w:rsidR="00F04C0B" w:rsidRPr="00F04C0B" w:rsidRDefault="00F04C0B" w:rsidP="00F04C0B">
      <w:pPr>
        <w:jc w:val="both"/>
        <w:rPr>
          <w:rFonts w:eastAsia="Calibri"/>
          <w:b/>
          <w:bCs/>
          <w:kern w:val="2"/>
          <w:sz w:val="22"/>
          <w:szCs w:val="22"/>
          <w14:ligatures w14:val="standardContextual"/>
        </w:rPr>
      </w:pPr>
    </w:p>
    <w:p w14:paraId="625740A8" w14:textId="77777777" w:rsidR="00F04C0B" w:rsidRPr="00F04C0B" w:rsidRDefault="00F04C0B" w:rsidP="00F04C0B">
      <w:pPr>
        <w:shd w:val="clear" w:color="auto" w:fill="FFFFFF"/>
        <w:rPr>
          <w:b/>
          <w:bCs/>
          <w:color w:val="000000"/>
          <w:sz w:val="22"/>
          <w:szCs w:val="22"/>
        </w:rPr>
      </w:pPr>
      <w:r w:rsidRPr="00F04C0B">
        <w:rPr>
          <w:b/>
          <w:bCs/>
          <w:color w:val="000000"/>
          <w:sz w:val="22"/>
          <w:szCs w:val="22"/>
        </w:rPr>
        <w:t>GEO-CM04S1</w:t>
      </w:r>
    </w:p>
    <w:p w14:paraId="48585628" w14:textId="77777777" w:rsidR="00F04C0B" w:rsidRPr="00F04C0B" w:rsidRDefault="00F04C0B" w:rsidP="00F04C0B">
      <w:pPr>
        <w:widowControl w:val="0"/>
        <w:numPr>
          <w:ilvl w:val="0"/>
          <w:numId w:val="4"/>
        </w:numPr>
        <w:autoSpaceDE w:val="0"/>
        <w:autoSpaceDN w:val="0"/>
        <w:adjustRightInd w:val="0"/>
        <w:jc w:val="both"/>
        <w:rPr>
          <w:rFonts w:eastAsia="Calibri"/>
          <w:kern w:val="2"/>
          <w:sz w:val="22"/>
          <w:szCs w:val="22"/>
          <w14:ligatures w14:val="standardContextual"/>
        </w:rPr>
      </w:pPr>
      <w:r w:rsidRPr="00F04C0B">
        <w:rPr>
          <w:rFonts w:eastAsia="Calibri"/>
          <w:b/>
          <w:bCs/>
          <w:kern w:val="2"/>
          <w:sz w:val="22"/>
          <w:szCs w:val="22"/>
          <w14:ligatures w14:val="standardContextual"/>
        </w:rPr>
        <w:t>Enrollment completed for Phase 2 clinical trial</w:t>
      </w:r>
      <w:r w:rsidRPr="00F04C0B">
        <w:rPr>
          <w:rFonts w:eastAsia="Calibri"/>
          <w:kern w:val="2"/>
          <w:sz w:val="22"/>
          <w:szCs w:val="22"/>
          <w14:ligatures w14:val="standardContextual"/>
        </w:rPr>
        <w:t xml:space="preserve"> evaluating GEO-CM04S1 as a booster for healthy patients who have previously received the Pfizer or Moderna mRNA vaccine in September of 2023. An initial data readout is expected soon. </w:t>
      </w:r>
    </w:p>
    <w:p w14:paraId="7FEE104C" w14:textId="77777777" w:rsidR="00F04C0B" w:rsidRPr="00F04C0B" w:rsidRDefault="00F04C0B" w:rsidP="00F04C0B">
      <w:pPr>
        <w:jc w:val="both"/>
        <w:rPr>
          <w:rFonts w:eastAsia="Calibri"/>
          <w:kern w:val="2"/>
          <w:sz w:val="22"/>
          <w:szCs w:val="22"/>
          <w14:ligatures w14:val="standardContextual"/>
        </w:rPr>
      </w:pPr>
    </w:p>
    <w:p w14:paraId="6AF436A8" w14:textId="77777777" w:rsidR="00F04C0B" w:rsidRPr="00F04C0B" w:rsidRDefault="00F04C0B" w:rsidP="00F04C0B">
      <w:pPr>
        <w:widowControl w:val="0"/>
        <w:numPr>
          <w:ilvl w:val="0"/>
          <w:numId w:val="4"/>
        </w:numPr>
        <w:autoSpaceDE w:val="0"/>
        <w:autoSpaceDN w:val="0"/>
        <w:adjustRightInd w:val="0"/>
        <w:jc w:val="both"/>
        <w:rPr>
          <w:rFonts w:eastAsia="Calibri"/>
          <w:kern w:val="2"/>
          <w:sz w:val="22"/>
          <w:szCs w:val="22"/>
          <w14:ligatures w14:val="standardContextual"/>
        </w:rPr>
      </w:pPr>
      <w:r w:rsidRPr="00F04C0B">
        <w:rPr>
          <w:rFonts w:eastAsia="Calibri"/>
          <w:b/>
          <w:bCs/>
          <w:kern w:val="2"/>
          <w:sz w:val="22"/>
          <w:szCs w:val="22"/>
          <w14:ligatures w14:val="standardContextual"/>
        </w:rPr>
        <w:t xml:space="preserve">GEO-CM04S1 demonstrated potent antibody and cellular immunity in immunocompromised patients </w:t>
      </w:r>
      <w:r w:rsidRPr="00F04C0B">
        <w:rPr>
          <w:rFonts w:eastAsia="Calibri"/>
          <w:kern w:val="2"/>
          <w:sz w:val="22"/>
          <w:szCs w:val="22"/>
          <w14:ligatures w14:val="standardContextual"/>
        </w:rPr>
        <w:t xml:space="preserve">in a </w:t>
      </w:r>
      <w:hyperlink r:id="rId9" w:history="1">
        <w:r w:rsidRPr="00F04C0B">
          <w:rPr>
            <w:rFonts w:eastAsia="Calibri"/>
            <w:color w:val="0000FF"/>
            <w:kern w:val="2"/>
            <w:sz w:val="22"/>
            <w:szCs w:val="22"/>
            <w:u w:val="single"/>
            <w14:ligatures w14:val="standardContextual"/>
          </w:rPr>
          <w:t>recent publication</w:t>
        </w:r>
      </w:hyperlink>
      <w:r w:rsidRPr="00F04C0B">
        <w:rPr>
          <w:rFonts w:eastAsia="Calibri"/>
          <w:kern w:val="2"/>
          <w:sz w:val="22"/>
          <w:szCs w:val="22"/>
          <w14:ligatures w14:val="standardContextual"/>
        </w:rPr>
        <w:t xml:space="preserve"> in the journal, </w:t>
      </w:r>
      <w:r w:rsidRPr="00F04C0B">
        <w:rPr>
          <w:rFonts w:eastAsia="Calibri"/>
          <w:i/>
          <w:iCs/>
          <w:kern w:val="2"/>
          <w:sz w:val="22"/>
          <w:szCs w:val="22"/>
          <w14:ligatures w14:val="standardContextual"/>
        </w:rPr>
        <w:t>Vaccines</w:t>
      </w:r>
      <w:r w:rsidRPr="00F04C0B">
        <w:rPr>
          <w:rFonts w:eastAsia="Calibri"/>
          <w:kern w:val="2"/>
          <w:sz w:val="22"/>
          <w:szCs w:val="22"/>
          <w14:ligatures w14:val="standardContextual"/>
        </w:rPr>
        <w:t xml:space="preserve">, in August 2023. GeoVax’s Phase 2 clinical trial evaluated the safety and immunogenicity of GEO-CM04S1, compared to either the </w:t>
      </w:r>
      <w:r w:rsidRPr="00F04C0B">
        <w:rPr>
          <w:rFonts w:eastAsia="Calibri"/>
          <w:kern w:val="2"/>
          <w:sz w:val="22"/>
          <w:szCs w:val="22"/>
          <w14:ligatures w14:val="standardContextual"/>
        </w:rPr>
        <w:lastRenderedPageBreak/>
        <w:t>Pfizer/BioNTech or Moderna mRNA-based vaccine in patients who have previously received an allogeneic hematopoietic cell transplant, an autologous hematopoietic cell transplant or CAR-T cell therapy. Most promising in the results published was the demonstration of the potential of GEO-CM04S1 as a variant agnostic COVID-19 vaccine, providing potent immunity from the Wuhan through Delta and Omicron strains.</w:t>
      </w:r>
    </w:p>
    <w:p w14:paraId="35E1BF65" w14:textId="77777777" w:rsidR="00F04C0B" w:rsidRPr="00F04C0B" w:rsidRDefault="00F04C0B" w:rsidP="00F04C0B">
      <w:pPr>
        <w:widowControl w:val="0"/>
        <w:numPr>
          <w:ilvl w:val="1"/>
          <w:numId w:val="4"/>
        </w:numPr>
        <w:autoSpaceDE w:val="0"/>
        <w:autoSpaceDN w:val="0"/>
        <w:adjustRightInd w:val="0"/>
        <w:ind w:left="1080"/>
        <w:jc w:val="both"/>
        <w:rPr>
          <w:rFonts w:eastAsia="Calibri"/>
          <w:kern w:val="2"/>
          <w:sz w:val="22"/>
          <w:szCs w:val="22"/>
          <w14:ligatures w14:val="standardContextual"/>
        </w:rPr>
      </w:pPr>
      <w:r w:rsidRPr="00F04C0B">
        <w:rPr>
          <w:rFonts w:eastAsia="Calibri"/>
          <w:bCs/>
          <w:kern w:val="2"/>
          <w:sz w:val="22"/>
          <w:szCs w:val="22"/>
          <w14:ligatures w14:val="standardContextual"/>
        </w:rPr>
        <w:t>In October 2023, GeoVax commenced the planned site expansion for this trial to accelerate patient enrollment. In addition to study enrollments completed at the City of Hope Medical Center (Duarte, California), the trial is now open at Wake Forest Baptist Medical Center (Winston Salem, North Carolina), the University of Massachusetts Medical Center (Worcester, Massachusetts), and Fred Hutchinson Cancer Center (Seattle, Washington).</w:t>
      </w:r>
    </w:p>
    <w:p w14:paraId="307862FA" w14:textId="77777777" w:rsidR="00F04C0B" w:rsidRPr="00F04C0B" w:rsidRDefault="00F04C0B" w:rsidP="00F04C0B">
      <w:pPr>
        <w:widowControl w:val="0"/>
        <w:autoSpaceDE w:val="0"/>
        <w:autoSpaceDN w:val="0"/>
        <w:adjustRightInd w:val="0"/>
        <w:rPr>
          <w:rFonts w:eastAsia="Calibri"/>
          <w:sz w:val="20"/>
          <w:szCs w:val="20"/>
        </w:rPr>
      </w:pPr>
    </w:p>
    <w:p w14:paraId="1579F022" w14:textId="77777777" w:rsidR="00F04C0B" w:rsidRPr="00F04C0B" w:rsidRDefault="00F04C0B" w:rsidP="00F04C0B">
      <w:pPr>
        <w:widowControl w:val="0"/>
        <w:numPr>
          <w:ilvl w:val="0"/>
          <w:numId w:val="4"/>
        </w:numPr>
        <w:autoSpaceDE w:val="0"/>
        <w:autoSpaceDN w:val="0"/>
        <w:adjustRightInd w:val="0"/>
        <w:jc w:val="both"/>
        <w:rPr>
          <w:rFonts w:eastAsia="Calibri"/>
          <w:kern w:val="2"/>
          <w:sz w:val="22"/>
          <w:szCs w:val="22"/>
          <w14:ligatures w14:val="standardContextual"/>
        </w:rPr>
      </w:pPr>
      <w:r w:rsidRPr="00F04C0B">
        <w:rPr>
          <w:rFonts w:eastAsia="Calibri"/>
          <w:b/>
          <w:bCs/>
          <w:kern w:val="2"/>
          <w:sz w:val="22"/>
          <w:szCs w:val="22"/>
          <w14:ligatures w14:val="standardContextual"/>
        </w:rPr>
        <w:t>Commenced investigator-initiated randomized observer-blinded Phase 2 clinical trial of COVID-19 boosters</w:t>
      </w:r>
      <w:r w:rsidRPr="00F04C0B">
        <w:rPr>
          <w:rFonts w:eastAsia="Calibri"/>
          <w:kern w:val="2"/>
          <w:sz w:val="22"/>
          <w:szCs w:val="22"/>
          <w14:ligatures w14:val="standardContextual"/>
        </w:rPr>
        <w:t xml:space="preserve"> with GEO-CM04S1 or Pfizer-</w:t>
      </w:r>
      <w:proofErr w:type="spellStart"/>
      <w:r w:rsidRPr="00F04C0B">
        <w:rPr>
          <w:rFonts w:eastAsia="Calibri"/>
          <w:kern w:val="2"/>
          <w:sz w:val="22"/>
          <w:szCs w:val="22"/>
          <w14:ligatures w14:val="standardContextual"/>
        </w:rPr>
        <w:t>BioNtech</w:t>
      </w:r>
      <w:proofErr w:type="spellEnd"/>
      <w:r w:rsidRPr="00F04C0B">
        <w:rPr>
          <w:rFonts w:eastAsia="Calibri"/>
          <w:kern w:val="2"/>
          <w:sz w:val="22"/>
          <w:szCs w:val="22"/>
          <w14:ligatures w14:val="standardContextual"/>
        </w:rPr>
        <w:t xml:space="preserve"> bivalent vaccines in patients with chronic lymphocytic leukemia (CLL) in July of 2023. The trial is rapidly enrolling patients and progressing towards an interim data review. </w:t>
      </w:r>
    </w:p>
    <w:p w14:paraId="01FDFDA1" w14:textId="77777777" w:rsidR="00F04C0B" w:rsidRPr="00F04C0B" w:rsidRDefault="00F04C0B" w:rsidP="00F04C0B">
      <w:pPr>
        <w:jc w:val="both"/>
        <w:rPr>
          <w:rFonts w:eastAsia="Calibri"/>
          <w:b/>
          <w:bCs/>
          <w:kern w:val="2"/>
          <w:sz w:val="22"/>
          <w:szCs w:val="22"/>
          <w14:ligatures w14:val="standardContextual"/>
        </w:rPr>
      </w:pPr>
    </w:p>
    <w:p w14:paraId="07F7C296" w14:textId="77777777" w:rsidR="00F04C0B" w:rsidRPr="00F04C0B" w:rsidRDefault="00F04C0B" w:rsidP="00F04C0B">
      <w:pPr>
        <w:widowControl w:val="0"/>
        <w:numPr>
          <w:ilvl w:val="0"/>
          <w:numId w:val="4"/>
        </w:numPr>
        <w:autoSpaceDE w:val="0"/>
        <w:autoSpaceDN w:val="0"/>
        <w:adjustRightInd w:val="0"/>
        <w:jc w:val="both"/>
        <w:rPr>
          <w:rFonts w:eastAsia="Calibri"/>
          <w:kern w:val="2"/>
          <w:sz w:val="22"/>
          <w:szCs w:val="22"/>
          <w14:ligatures w14:val="standardContextual"/>
        </w:rPr>
      </w:pPr>
      <w:r w:rsidRPr="00F04C0B">
        <w:rPr>
          <w:rFonts w:eastAsia="Calibri"/>
          <w:b/>
          <w:bCs/>
          <w:kern w:val="2"/>
          <w:sz w:val="22"/>
          <w:szCs w:val="22"/>
          <w14:ligatures w14:val="standardContextual"/>
        </w:rPr>
        <w:t>Presented data for GEO-CM02 at the Keystone Symposia Conference</w:t>
      </w:r>
      <w:r w:rsidRPr="00F04C0B">
        <w:rPr>
          <w:rFonts w:eastAsia="Calibri"/>
          <w:kern w:val="2"/>
          <w:sz w:val="22"/>
          <w:szCs w:val="22"/>
          <w14:ligatures w14:val="standardContextual"/>
        </w:rPr>
        <w:t xml:space="preserve"> in an abstract titled, </w:t>
      </w:r>
      <w:r w:rsidRPr="00F04C0B">
        <w:rPr>
          <w:rFonts w:eastAsia="Calibri"/>
          <w:i/>
          <w:iCs/>
          <w:kern w:val="2"/>
          <w:sz w:val="22"/>
          <w:szCs w:val="22"/>
          <w14:ligatures w14:val="standardContextual"/>
        </w:rPr>
        <w:t>MVA-vector multi-antigen COVID-19 vaccines induce protective immunity against SARS-CoV-2 variants spanning Alpha to Omicron in preclinical animal models</w:t>
      </w:r>
      <w:r w:rsidRPr="00F04C0B">
        <w:rPr>
          <w:rFonts w:eastAsia="Calibri"/>
          <w:kern w:val="2"/>
          <w:sz w:val="22"/>
          <w:szCs w:val="22"/>
          <w14:ligatures w14:val="standardContextual"/>
        </w:rPr>
        <w:t xml:space="preserve"> in September of 2023</w:t>
      </w:r>
      <w:r w:rsidRPr="00F04C0B">
        <w:rPr>
          <w:rFonts w:eastAsia="Calibri"/>
          <w:i/>
          <w:iCs/>
          <w:kern w:val="2"/>
          <w:sz w:val="22"/>
          <w:szCs w:val="22"/>
          <w14:ligatures w14:val="standardContextual"/>
        </w:rPr>
        <w:t xml:space="preserve">. </w:t>
      </w:r>
      <w:r w:rsidRPr="00F04C0B">
        <w:rPr>
          <w:rFonts w:eastAsia="Calibri"/>
          <w:kern w:val="2"/>
          <w:sz w:val="22"/>
          <w:szCs w:val="22"/>
          <w14:ligatures w14:val="standardContextual"/>
        </w:rPr>
        <w:t xml:space="preserve">The data revealed that the GEO-CM02 vaccine induced immune responses that were efficacious against the original Wuhan strain and Omicron variants with a single dose. This effort expands upon GeoVax’s </w:t>
      </w:r>
      <w:r w:rsidRPr="00F04C0B">
        <w:rPr>
          <w:rFonts w:eastAsia="Calibri"/>
          <w:bCs/>
          <w:kern w:val="2"/>
          <w:sz w:val="22"/>
          <w:szCs w:val="22"/>
          <w14:ligatures w14:val="standardContextual"/>
        </w:rPr>
        <w:t>hypothesis that vaccines designed to induce both antibodies and T-cell responses to multiple viral structural proteins can address the issue of viral variation and escape from the immune system without the need for repeated seasonal adjustments</w:t>
      </w:r>
      <w:r w:rsidRPr="00F04C0B">
        <w:rPr>
          <w:rFonts w:eastAsia="Calibri"/>
          <w:kern w:val="2"/>
          <w:sz w:val="22"/>
          <w:szCs w:val="22"/>
          <w14:ligatures w14:val="standardContextual"/>
        </w:rPr>
        <w:t xml:space="preserve">. </w:t>
      </w:r>
    </w:p>
    <w:p w14:paraId="46F0B7B5" w14:textId="77777777" w:rsidR="00F04C0B" w:rsidRPr="00F04C0B" w:rsidRDefault="00F04C0B" w:rsidP="00F04C0B">
      <w:pPr>
        <w:jc w:val="both"/>
        <w:rPr>
          <w:b/>
          <w:bCs/>
          <w:color w:val="000000"/>
          <w:sz w:val="22"/>
          <w:szCs w:val="22"/>
        </w:rPr>
      </w:pPr>
    </w:p>
    <w:p w14:paraId="1BC4629A" w14:textId="77777777" w:rsidR="00F04C0B" w:rsidRPr="00F04C0B" w:rsidRDefault="00F04C0B" w:rsidP="00F04C0B">
      <w:pPr>
        <w:jc w:val="both"/>
        <w:rPr>
          <w:color w:val="000000"/>
          <w:sz w:val="22"/>
          <w:szCs w:val="22"/>
        </w:rPr>
      </w:pPr>
      <w:r w:rsidRPr="00F04C0B">
        <w:rPr>
          <w:b/>
          <w:bCs/>
          <w:color w:val="000000"/>
          <w:sz w:val="22"/>
          <w:szCs w:val="22"/>
        </w:rPr>
        <w:t>Gedeptin</w:t>
      </w:r>
      <w:r w:rsidRPr="00F04C0B">
        <w:rPr>
          <w:b/>
          <w:bCs/>
          <w:color w:val="000000"/>
          <w:sz w:val="22"/>
          <w:szCs w:val="22"/>
          <w:vertAlign w:val="superscript"/>
        </w:rPr>
        <w:t>®</w:t>
      </w:r>
    </w:p>
    <w:p w14:paraId="58077FEA" w14:textId="77777777" w:rsidR="00F04C0B" w:rsidRPr="00F04C0B" w:rsidRDefault="00F04C0B" w:rsidP="00F04C0B">
      <w:pPr>
        <w:widowControl w:val="0"/>
        <w:numPr>
          <w:ilvl w:val="0"/>
          <w:numId w:val="4"/>
        </w:numPr>
        <w:autoSpaceDE w:val="0"/>
        <w:autoSpaceDN w:val="0"/>
        <w:adjustRightInd w:val="0"/>
        <w:jc w:val="both"/>
        <w:rPr>
          <w:rFonts w:eastAsia="Calibri"/>
          <w:kern w:val="2"/>
          <w:sz w:val="22"/>
          <w:szCs w:val="22"/>
          <w14:ligatures w14:val="standardContextual"/>
        </w:rPr>
      </w:pPr>
      <w:r w:rsidRPr="00F04C0B">
        <w:rPr>
          <w:rFonts w:eastAsia="Calibri"/>
          <w:b/>
          <w:bCs/>
          <w:kern w:val="2"/>
          <w:sz w:val="22"/>
          <w:szCs w:val="22"/>
          <w14:ligatures w14:val="standardContextual"/>
        </w:rPr>
        <w:t>Gedeptin</w:t>
      </w:r>
      <w:r w:rsidRPr="00F04C0B">
        <w:rPr>
          <w:rFonts w:eastAsia="Calibri"/>
          <w:b/>
          <w:bCs/>
          <w:kern w:val="2"/>
          <w:sz w:val="22"/>
          <w:szCs w:val="22"/>
          <w:vertAlign w:val="superscript"/>
          <w14:ligatures w14:val="standardContextual"/>
        </w:rPr>
        <w:t>®</w:t>
      </w:r>
      <w:r w:rsidRPr="00F04C0B">
        <w:rPr>
          <w:rFonts w:eastAsia="Calibri"/>
          <w:b/>
          <w:bCs/>
          <w:kern w:val="2"/>
          <w:sz w:val="22"/>
          <w:szCs w:val="22"/>
          <w14:ligatures w14:val="standardContextual"/>
        </w:rPr>
        <w:t xml:space="preserve"> clinical data presented at the AACR-AHNS Head and Neck Cancer Conference</w:t>
      </w:r>
      <w:r w:rsidRPr="00F04C0B">
        <w:rPr>
          <w:rFonts w:eastAsia="Calibri"/>
          <w:kern w:val="2"/>
          <w:sz w:val="22"/>
          <w:szCs w:val="22"/>
          <w14:ligatures w14:val="standardContextual"/>
        </w:rPr>
        <w:t xml:space="preserve"> in an abstract titled, </w:t>
      </w:r>
      <w:r w:rsidRPr="00F04C0B">
        <w:rPr>
          <w:rFonts w:eastAsia="Calibri"/>
          <w:i/>
          <w:iCs/>
          <w:kern w:val="2"/>
          <w:sz w:val="22"/>
          <w:szCs w:val="22"/>
          <w14:ligatures w14:val="standardContextual"/>
        </w:rPr>
        <w:t>Phase 1/2 study of Ad/PNB with Fludarabine for the Treatment of Head and Neck Squamous Cell Carcinoma (HNSCC)</w:t>
      </w:r>
      <w:r w:rsidRPr="00F04C0B">
        <w:rPr>
          <w:rFonts w:eastAsia="Calibri"/>
          <w:kern w:val="2"/>
          <w:sz w:val="22"/>
          <w:szCs w:val="22"/>
          <w14:ligatures w14:val="standardContextual"/>
        </w:rPr>
        <w:t xml:space="preserve"> in July 2023</w:t>
      </w:r>
      <w:r w:rsidRPr="00F04C0B">
        <w:rPr>
          <w:rFonts w:eastAsia="Calibri"/>
          <w:i/>
          <w:iCs/>
          <w:kern w:val="2"/>
          <w:sz w:val="22"/>
          <w:szCs w:val="22"/>
          <w14:ligatures w14:val="standardContextual"/>
        </w:rPr>
        <w:t xml:space="preserve">. </w:t>
      </w:r>
      <w:r w:rsidRPr="00F04C0B">
        <w:rPr>
          <w:rFonts w:eastAsia="Calibri"/>
          <w:kern w:val="2"/>
          <w:sz w:val="22"/>
          <w:szCs w:val="22"/>
          <w14:ligatures w14:val="standardContextual"/>
        </w:rPr>
        <w:t>The FDA-funded study revealed that the administration of Gedeptin</w:t>
      </w:r>
      <w:r w:rsidRPr="00F04C0B">
        <w:rPr>
          <w:rFonts w:eastAsia="Calibri"/>
          <w:kern w:val="2"/>
          <w:sz w:val="22"/>
          <w:szCs w:val="22"/>
          <w:vertAlign w:val="superscript"/>
          <w14:ligatures w14:val="standardContextual"/>
        </w:rPr>
        <w:t xml:space="preserve">® </w:t>
      </w:r>
      <w:r w:rsidRPr="00F04C0B">
        <w:rPr>
          <w:rFonts w:eastAsia="Calibri"/>
          <w:kern w:val="2"/>
          <w:sz w:val="22"/>
          <w:szCs w:val="22"/>
          <w14:ligatures w14:val="standardContextual"/>
        </w:rPr>
        <w:t xml:space="preserve">is safe and feasible. </w:t>
      </w:r>
    </w:p>
    <w:p w14:paraId="32C32946" w14:textId="77777777" w:rsidR="00F04C0B" w:rsidRPr="00F04C0B" w:rsidRDefault="00F04C0B" w:rsidP="00F04C0B">
      <w:pPr>
        <w:jc w:val="both"/>
        <w:rPr>
          <w:rFonts w:eastAsia="Calibri"/>
          <w:kern w:val="2"/>
          <w:sz w:val="22"/>
          <w:szCs w:val="22"/>
          <w14:ligatures w14:val="standardContextual"/>
        </w:rPr>
      </w:pPr>
    </w:p>
    <w:p w14:paraId="0413202D" w14:textId="77777777" w:rsidR="00F04C0B" w:rsidRPr="00F04C0B" w:rsidRDefault="00F04C0B" w:rsidP="00F04C0B">
      <w:pPr>
        <w:shd w:val="clear" w:color="auto" w:fill="FFFFFF"/>
        <w:rPr>
          <w:b/>
          <w:bCs/>
          <w:color w:val="000000"/>
          <w:sz w:val="22"/>
          <w:szCs w:val="22"/>
        </w:rPr>
      </w:pPr>
      <w:r w:rsidRPr="00F04C0B">
        <w:rPr>
          <w:b/>
          <w:bCs/>
          <w:color w:val="000000"/>
          <w:sz w:val="22"/>
          <w:szCs w:val="22"/>
        </w:rPr>
        <w:t>Advanced Vaccine Manufacturing Process</w:t>
      </w:r>
    </w:p>
    <w:p w14:paraId="6CC6053C" w14:textId="77777777" w:rsidR="00F04C0B" w:rsidRPr="00F04C0B" w:rsidRDefault="00F04C0B" w:rsidP="00F04C0B">
      <w:pPr>
        <w:widowControl w:val="0"/>
        <w:numPr>
          <w:ilvl w:val="0"/>
          <w:numId w:val="4"/>
        </w:numPr>
        <w:autoSpaceDE w:val="0"/>
        <w:autoSpaceDN w:val="0"/>
        <w:adjustRightInd w:val="0"/>
        <w:jc w:val="both"/>
        <w:rPr>
          <w:rFonts w:eastAsia="Calibri"/>
          <w:kern w:val="2"/>
          <w:sz w:val="22"/>
          <w:szCs w:val="22"/>
          <w14:ligatures w14:val="standardContextual"/>
        </w:rPr>
      </w:pPr>
      <w:r w:rsidRPr="00F04C0B">
        <w:rPr>
          <w:rFonts w:eastAsia="Calibri"/>
          <w:b/>
          <w:bCs/>
          <w:kern w:val="2"/>
          <w:sz w:val="22"/>
          <w:szCs w:val="22"/>
          <w14:ligatures w14:val="standardContextual"/>
        </w:rPr>
        <w:t xml:space="preserve">GeoVax and </w:t>
      </w:r>
      <w:proofErr w:type="spellStart"/>
      <w:r w:rsidRPr="00F04C0B">
        <w:rPr>
          <w:rFonts w:eastAsia="Calibri"/>
          <w:b/>
          <w:bCs/>
          <w:kern w:val="2"/>
          <w:sz w:val="22"/>
          <w:szCs w:val="22"/>
          <w14:ligatures w14:val="standardContextual"/>
        </w:rPr>
        <w:t>ProBioGen</w:t>
      </w:r>
      <w:proofErr w:type="spellEnd"/>
      <w:r w:rsidRPr="00F04C0B">
        <w:rPr>
          <w:rFonts w:eastAsia="Calibri"/>
          <w:b/>
          <w:bCs/>
          <w:kern w:val="2"/>
          <w:sz w:val="22"/>
          <w:szCs w:val="22"/>
          <w14:ligatures w14:val="standardContextual"/>
        </w:rPr>
        <w:t xml:space="preserve"> announced the signing of a landmark multi-product commercial license agreement </w:t>
      </w:r>
      <w:r w:rsidRPr="00F04C0B">
        <w:rPr>
          <w:rFonts w:eastAsia="Calibri"/>
          <w:kern w:val="2"/>
          <w:sz w:val="22"/>
          <w:szCs w:val="22"/>
          <w14:ligatures w14:val="standardContextual"/>
        </w:rPr>
        <w:t>for ProBioGen’s groundbreaking AGE1.CR.PIX</w:t>
      </w:r>
      <w:r w:rsidRPr="00F04C0B">
        <w:rPr>
          <w:rFonts w:eastAsia="Calibri"/>
          <w:kern w:val="2"/>
          <w:sz w:val="22"/>
          <w:szCs w:val="22"/>
          <w:vertAlign w:val="superscript"/>
          <w14:ligatures w14:val="standardContextual"/>
        </w:rPr>
        <w:t>®</w:t>
      </w:r>
      <w:r w:rsidRPr="00F04C0B">
        <w:rPr>
          <w:rFonts w:eastAsia="Calibri"/>
          <w:kern w:val="2"/>
          <w:sz w:val="22"/>
          <w:szCs w:val="22"/>
          <w14:ligatures w14:val="standardContextual"/>
        </w:rPr>
        <w:t xml:space="preserve"> suspension cell line in September 2023. The agreement enhances the manufacturing capabilities of GeoVax’s entire Modified Vaccinia Ankara (MVA)-based vaccine portfolio with respect to both scale and flexibility. This follows the May 2023 </w:t>
      </w:r>
      <w:r w:rsidRPr="00F04C0B">
        <w:rPr>
          <w:rFonts w:eastAsia="Calibri"/>
          <w:bCs/>
          <w:kern w:val="2"/>
          <w:sz w:val="22"/>
          <w:szCs w:val="22"/>
          <w14:ligatures w14:val="standardContextual"/>
        </w:rPr>
        <w:t>agreement with Advanced Bioscience Laboratories, Inc. (ABL) to support current Good Manufacturing Practices (cGMP) production of the Company’s vaccine candidates.</w:t>
      </w:r>
      <w:r w:rsidRPr="00F04C0B">
        <w:rPr>
          <w:rFonts w:eastAsia="Calibri"/>
          <w:kern w:val="2"/>
          <w:sz w:val="22"/>
          <w:szCs w:val="22"/>
          <w14:ligatures w14:val="standardContextual"/>
        </w:rPr>
        <w:t xml:space="preserve"> </w:t>
      </w:r>
      <w:r w:rsidRPr="00F04C0B">
        <w:rPr>
          <w:rFonts w:eastAsia="Calibri"/>
          <w:bCs/>
          <w:kern w:val="2"/>
          <w:sz w:val="22"/>
          <w:szCs w:val="22"/>
          <w14:ligatures w14:val="standardContextual"/>
        </w:rPr>
        <w:t>These agreements move the Company toward fully implementing a continuous cell line manufacturing system that will provide lower-cost, scalable versatility for our entire MVA-based vaccine portfolio.</w:t>
      </w:r>
    </w:p>
    <w:p w14:paraId="03C3B30E" w14:textId="77777777" w:rsidR="00F04C0B" w:rsidRPr="00F04C0B" w:rsidRDefault="00F04C0B" w:rsidP="00F04C0B">
      <w:pPr>
        <w:jc w:val="both"/>
        <w:rPr>
          <w:rFonts w:eastAsia="Calibri"/>
          <w:kern w:val="2"/>
          <w:sz w:val="22"/>
          <w:szCs w:val="22"/>
          <w14:ligatures w14:val="standardContextual"/>
        </w:rPr>
      </w:pPr>
    </w:p>
    <w:p w14:paraId="05B8D510"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Intellectual Property Developments</w:t>
      </w:r>
    </w:p>
    <w:p w14:paraId="1ED28A66" w14:textId="77777777" w:rsidR="00F04C0B" w:rsidRPr="00F04C0B" w:rsidRDefault="00F04C0B" w:rsidP="00F04C0B">
      <w:pPr>
        <w:widowControl w:val="0"/>
        <w:numPr>
          <w:ilvl w:val="0"/>
          <w:numId w:val="3"/>
        </w:numPr>
        <w:autoSpaceDE w:val="0"/>
        <w:autoSpaceDN w:val="0"/>
        <w:adjustRightInd w:val="0"/>
        <w:ind w:left="720"/>
        <w:jc w:val="both"/>
        <w:rPr>
          <w:rFonts w:eastAsia="Calibri"/>
          <w:b/>
          <w:bCs/>
          <w:kern w:val="2"/>
          <w:sz w:val="22"/>
          <w:szCs w:val="22"/>
          <w14:ligatures w14:val="standardContextual"/>
        </w:rPr>
      </w:pPr>
      <w:r w:rsidRPr="00F04C0B">
        <w:rPr>
          <w:rFonts w:eastAsia="Calibri"/>
          <w:b/>
          <w:bCs/>
          <w:kern w:val="2"/>
          <w:sz w:val="22"/>
          <w:szCs w:val="22"/>
          <w14:ligatures w14:val="standardContextual"/>
        </w:rPr>
        <w:t>GeoVax recently secured multiple positive patent decisions covering notice of allowances for Ebola, Marburg, Malaria and HIV vaccines.</w:t>
      </w:r>
    </w:p>
    <w:p w14:paraId="0E143EC1" w14:textId="77777777" w:rsidR="00F04C0B" w:rsidRPr="00F04C0B" w:rsidRDefault="00F04C0B" w:rsidP="00F04C0B">
      <w:pPr>
        <w:widowControl w:val="0"/>
        <w:numPr>
          <w:ilvl w:val="1"/>
          <w:numId w:val="3"/>
        </w:numPr>
        <w:autoSpaceDE w:val="0"/>
        <w:autoSpaceDN w:val="0"/>
        <w:adjustRightInd w:val="0"/>
        <w:contextualSpacing/>
        <w:jc w:val="both"/>
        <w:rPr>
          <w:rFonts w:eastAsia="Calibri"/>
          <w:i/>
          <w:iCs/>
          <w:kern w:val="2"/>
          <w:sz w:val="22"/>
          <w:szCs w:val="22"/>
          <w14:ligatures w14:val="standardContextual"/>
        </w:rPr>
      </w:pPr>
      <w:r w:rsidRPr="00F04C0B">
        <w:rPr>
          <w:rFonts w:eastAsia="Calibri"/>
          <w:kern w:val="2"/>
          <w:sz w:val="22"/>
          <w:szCs w:val="22"/>
          <w14:ligatures w14:val="standardContextual"/>
        </w:rPr>
        <w:t xml:space="preserve">GeoVax announced that the U.S. Patent and Trademark Office has issued a Notice of Allowance for Patent Application No. 17/584,231 titled patent titled </w:t>
      </w:r>
      <w:r w:rsidRPr="00F04C0B">
        <w:rPr>
          <w:rFonts w:eastAsia="Calibri"/>
          <w:i/>
          <w:iCs/>
          <w:kern w:val="2"/>
          <w:sz w:val="22"/>
          <w:szCs w:val="22"/>
          <w14:ligatures w14:val="standardContextual"/>
        </w:rPr>
        <w:t>“Replication Deficient Modified Vaccina Ankara (MVA) Expressing Marburg Virus Glycoprotein (GP) and Matrix Protein (VP40).”</w:t>
      </w:r>
    </w:p>
    <w:p w14:paraId="39B82178" w14:textId="77777777" w:rsidR="00F04C0B" w:rsidRPr="00F04C0B" w:rsidRDefault="00F04C0B" w:rsidP="00F04C0B">
      <w:pPr>
        <w:widowControl w:val="0"/>
        <w:numPr>
          <w:ilvl w:val="1"/>
          <w:numId w:val="3"/>
        </w:numPr>
        <w:autoSpaceDE w:val="0"/>
        <w:autoSpaceDN w:val="0"/>
        <w:adjustRightInd w:val="0"/>
        <w:contextualSpacing/>
        <w:jc w:val="both"/>
        <w:rPr>
          <w:rFonts w:eastAsia="Calibri"/>
          <w:i/>
          <w:iCs/>
          <w:kern w:val="2"/>
          <w:sz w:val="22"/>
          <w:szCs w:val="22"/>
          <w14:ligatures w14:val="standardContextual"/>
        </w:rPr>
      </w:pPr>
      <w:r w:rsidRPr="00F04C0B">
        <w:rPr>
          <w:rFonts w:eastAsia="Calibri"/>
          <w:kern w:val="2"/>
          <w:sz w:val="22"/>
          <w:szCs w:val="22"/>
          <w14:ligatures w14:val="standardContextual"/>
        </w:rPr>
        <w:t>GeoVax announced that the U.S Patent and Trademark Office has issued a Notice of Allowance for Patent Application No. 17/409,574 titled “</w:t>
      </w:r>
      <w:r w:rsidRPr="00F04C0B">
        <w:rPr>
          <w:rFonts w:eastAsia="Calibri"/>
          <w:i/>
          <w:iCs/>
          <w:kern w:val="2"/>
          <w:sz w:val="22"/>
          <w:szCs w:val="22"/>
          <w14:ligatures w14:val="standardContextual"/>
        </w:rPr>
        <w:t>Multivalent HIV Vaccine Boost Compositions and Methods of Use.”</w:t>
      </w:r>
    </w:p>
    <w:p w14:paraId="67E8CAA3" w14:textId="77777777" w:rsidR="00F04C0B" w:rsidRPr="00F04C0B" w:rsidRDefault="00F04C0B" w:rsidP="00F04C0B">
      <w:pPr>
        <w:widowControl w:val="0"/>
        <w:numPr>
          <w:ilvl w:val="1"/>
          <w:numId w:val="3"/>
        </w:numPr>
        <w:autoSpaceDE w:val="0"/>
        <w:autoSpaceDN w:val="0"/>
        <w:adjustRightInd w:val="0"/>
        <w:contextualSpacing/>
        <w:jc w:val="both"/>
        <w:rPr>
          <w:rFonts w:eastAsia="Calibri"/>
          <w:i/>
          <w:iCs/>
          <w:kern w:val="2"/>
          <w:sz w:val="22"/>
          <w:szCs w:val="22"/>
          <w14:ligatures w14:val="standardContextual"/>
        </w:rPr>
      </w:pPr>
      <w:r w:rsidRPr="00F04C0B">
        <w:rPr>
          <w:rFonts w:eastAsia="Calibri"/>
          <w:kern w:val="2"/>
          <w:sz w:val="22"/>
          <w:szCs w:val="22"/>
          <w14:ligatures w14:val="standardContextual"/>
        </w:rPr>
        <w:t>GeoVax announced that the U.S. Patent and Trademark Office has issued a Notice of Allowance for Patent Application No. 17/726,254 titled “</w:t>
      </w:r>
      <w:r w:rsidRPr="00F04C0B">
        <w:rPr>
          <w:rFonts w:eastAsia="Calibri"/>
          <w:i/>
          <w:iCs/>
          <w:kern w:val="2"/>
          <w:sz w:val="22"/>
          <w:szCs w:val="22"/>
          <w14:ligatures w14:val="standardContextual"/>
        </w:rPr>
        <w:t xml:space="preserve">Compositions and Methods for Generating an </w:t>
      </w:r>
      <w:r w:rsidRPr="00F04C0B">
        <w:rPr>
          <w:rFonts w:eastAsia="Calibri"/>
          <w:i/>
          <w:iCs/>
          <w:kern w:val="2"/>
          <w:sz w:val="22"/>
          <w:szCs w:val="22"/>
          <w14:ligatures w14:val="standardContextual"/>
        </w:rPr>
        <w:lastRenderedPageBreak/>
        <w:t>Immune Response to Treat or Prevent Malaria.”</w:t>
      </w:r>
    </w:p>
    <w:p w14:paraId="68B2CB72" w14:textId="77777777" w:rsidR="00F04C0B" w:rsidRPr="00F04C0B" w:rsidRDefault="00F04C0B" w:rsidP="00F04C0B">
      <w:pPr>
        <w:widowControl w:val="0"/>
        <w:numPr>
          <w:ilvl w:val="1"/>
          <w:numId w:val="3"/>
        </w:numPr>
        <w:autoSpaceDE w:val="0"/>
        <w:autoSpaceDN w:val="0"/>
        <w:adjustRightInd w:val="0"/>
        <w:contextualSpacing/>
        <w:jc w:val="both"/>
        <w:rPr>
          <w:rFonts w:eastAsia="Calibri"/>
          <w:i/>
          <w:iCs/>
          <w:kern w:val="2"/>
          <w:sz w:val="22"/>
          <w:szCs w:val="22"/>
          <w14:ligatures w14:val="standardContextual"/>
        </w:rPr>
      </w:pPr>
      <w:r w:rsidRPr="00F04C0B">
        <w:rPr>
          <w:rFonts w:eastAsia="Calibri"/>
          <w:kern w:val="2"/>
          <w:sz w:val="22"/>
          <w:szCs w:val="22"/>
          <w14:ligatures w14:val="standardContextual"/>
        </w:rPr>
        <w:t>GeoVax announced that the U.S. Patent and Trademark Office has issued Patent No. 11,701,418 B2 to GeoVax, pursuant to the Company’s patent application No. 15/543,139 titled “</w:t>
      </w:r>
      <w:r w:rsidRPr="00F04C0B">
        <w:rPr>
          <w:rFonts w:eastAsia="Calibri"/>
          <w:i/>
          <w:iCs/>
          <w:kern w:val="2"/>
          <w:sz w:val="22"/>
          <w:szCs w:val="22"/>
          <w14:ligatures w14:val="standardContextual"/>
        </w:rPr>
        <w:t>Replication-Deficient Modified Vaccinia Ankara (MVA) and Matrix Protein (VP40).”</w:t>
      </w:r>
    </w:p>
    <w:p w14:paraId="2E33B466" w14:textId="77777777" w:rsidR="00F04C0B" w:rsidRPr="00F04C0B" w:rsidRDefault="00F04C0B" w:rsidP="00F04C0B">
      <w:pPr>
        <w:jc w:val="both"/>
        <w:rPr>
          <w:rFonts w:eastAsia="Calibri"/>
          <w:b/>
          <w:bCs/>
          <w:kern w:val="2"/>
          <w:sz w:val="22"/>
          <w:szCs w:val="22"/>
          <w14:ligatures w14:val="standardContextual"/>
        </w:rPr>
      </w:pPr>
    </w:p>
    <w:p w14:paraId="109C7AAF"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Upcoming Events</w:t>
      </w:r>
    </w:p>
    <w:p w14:paraId="5E1B45F1" w14:textId="77777777" w:rsidR="00F04C0B" w:rsidRPr="00F04C0B" w:rsidRDefault="00F04C0B" w:rsidP="00F04C0B">
      <w:pPr>
        <w:widowControl w:val="0"/>
        <w:numPr>
          <w:ilvl w:val="0"/>
          <w:numId w:val="3"/>
        </w:numPr>
        <w:autoSpaceDE w:val="0"/>
        <w:autoSpaceDN w:val="0"/>
        <w:adjustRightInd w:val="0"/>
        <w:ind w:left="720"/>
        <w:jc w:val="both"/>
        <w:rPr>
          <w:rFonts w:eastAsia="Calibri"/>
          <w:b/>
          <w:bCs/>
          <w:kern w:val="2"/>
          <w:sz w:val="22"/>
          <w:szCs w:val="22"/>
          <w14:ligatures w14:val="standardContextual"/>
        </w:rPr>
      </w:pPr>
      <w:r w:rsidRPr="00F04C0B">
        <w:rPr>
          <w:rFonts w:eastAsia="Calibri"/>
          <w:b/>
          <w:bCs/>
          <w:kern w:val="2"/>
          <w:sz w:val="22"/>
          <w:szCs w:val="22"/>
          <w14:ligatures w14:val="standardContextual"/>
        </w:rPr>
        <w:t>GeoVax will participate in upcoming conferences and industry events:</w:t>
      </w:r>
    </w:p>
    <w:p w14:paraId="57571B7F" w14:textId="77777777" w:rsidR="00F04C0B" w:rsidRPr="00F04C0B" w:rsidRDefault="00F04C0B" w:rsidP="00F04C0B">
      <w:pPr>
        <w:widowControl w:val="0"/>
        <w:numPr>
          <w:ilvl w:val="1"/>
          <w:numId w:val="3"/>
        </w:numPr>
        <w:autoSpaceDE w:val="0"/>
        <w:autoSpaceDN w:val="0"/>
        <w:adjustRightInd w:val="0"/>
        <w:jc w:val="both"/>
        <w:rPr>
          <w:rFonts w:eastAsia="Calibri"/>
          <w:kern w:val="2"/>
          <w:sz w:val="22"/>
          <w:szCs w:val="22"/>
          <w14:ligatures w14:val="standardContextual"/>
        </w:rPr>
      </w:pPr>
      <w:r w:rsidRPr="00F04C0B">
        <w:rPr>
          <w:rFonts w:eastAsia="Calibri"/>
          <w:kern w:val="2"/>
          <w:sz w:val="22"/>
          <w:szCs w:val="22"/>
          <w14:ligatures w14:val="standardContextual"/>
        </w:rPr>
        <w:t>Vaccines Summit 2023, November 13-15, 2023, Boston, MA</w:t>
      </w:r>
    </w:p>
    <w:p w14:paraId="43C6B506" w14:textId="77777777" w:rsidR="00F04C0B" w:rsidRPr="00F04C0B" w:rsidRDefault="00F04C0B" w:rsidP="00F04C0B">
      <w:pPr>
        <w:widowControl w:val="0"/>
        <w:numPr>
          <w:ilvl w:val="1"/>
          <w:numId w:val="3"/>
        </w:numPr>
        <w:autoSpaceDE w:val="0"/>
        <w:autoSpaceDN w:val="0"/>
        <w:adjustRightInd w:val="0"/>
        <w:jc w:val="both"/>
        <w:rPr>
          <w:rFonts w:eastAsia="Calibri"/>
          <w:kern w:val="2"/>
          <w:sz w:val="22"/>
          <w:szCs w:val="22"/>
          <w14:ligatures w14:val="standardContextual"/>
        </w:rPr>
      </w:pPr>
      <w:r w:rsidRPr="00F04C0B">
        <w:rPr>
          <w:rFonts w:eastAsia="Calibri"/>
          <w:kern w:val="2"/>
          <w:sz w:val="22"/>
          <w:szCs w:val="22"/>
          <w14:ligatures w14:val="standardContextual"/>
        </w:rPr>
        <w:t>World Vaccine Congress, West Coast, November 27-30, 2023, Santa Clara, CA</w:t>
      </w:r>
    </w:p>
    <w:p w14:paraId="391B7182" w14:textId="77777777" w:rsidR="00F04C0B" w:rsidRPr="00F04C0B" w:rsidRDefault="00F04C0B" w:rsidP="00F04C0B">
      <w:pPr>
        <w:widowControl w:val="0"/>
        <w:numPr>
          <w:ilvl w:val="1"/>
          <w:numId w:val="3"/>
        </w:numPr>
        <w:autoSpaceDE w:val="0"/>
        <w:autoSpaceDN w:val="0"/>
        <w:adjustRightInd w:val="0"/>
        <w:jc w:val="both"/>
        <w:rPr>
          <w:rFonts w:eastAsia="Calibri"/>
          <w:kern w:val="2"/>
          <w:sz w:val="22"/>
          <w:szCs w:val="22"/>
          <w14:ligatures w14:val="standardContextual"/>
        </w:rPr>
      </w:pPr>
      <w:r w:rsidRPr="00F04C0B">
        <w:rPr>
          <w:rFonts w:eastAsia="Calibri"/>
          <w:kern w:val="2"/>
          <w:sz w:val="22"/>
          <w:szCs w:val="22"/>
          <w14:ligatures w14:val="standardContextual"/>
        </w:rPr>
        <w:t>NobleCon19, December 3-5, Boca Raton, FL</w:t>
      </w:r>
    </w:p>
    <w:p w14:paraId="6CDE6942" w14:textId="77777777" w:rsidR="00F04C0B" w:rsidRPr="00F04C0B" w:rsidRDefault="00F04C0B" w:rsidP="00F04C0B">
      <w:pPr>
        <w:widowControl w:val="0"/>
        <w:numPr>
          <w:ilvl w:val="1"/>
          <w:numId w:val="3"/>
        </w:numPr>
        <w:autoSpaceDE w:val="0"/>
        <w:autoSpaceDN w:val="0"/>
        <w:adjustRightInd w:val="0"/>
        <w:jc w:val="both"/>
        <w:rPr>
          <w:rFonts w:eastAsia="Calibri"/>
          <w:kern w:val="2"/>
          <w:sz w:val="22"/>
          <w:szCs w:val="22"/>
          <w14:ligatures w14:val="standardContextual"/>
        </w:rPr>
      </w:pPr>
      <w:r w:rsidRPr="00F04C0B">
        <w:rPr>
          <w:rFonts w:eastAsia="Calibri"/>
          <w:kern w:val="2"/>
          <w:sz w:val="22"/>
          <w:szCs w:val="22"/>
          <w14:ligatures w14:val="standardContextual"/>
        </w:rPr>
        <w:t>Emerging Growth Conference, December 6-7, Virtual</w:t>
      </w:r>
    </w:p>
    <w:p w14:paraId="2B78EB6F" w14:textId="77777777" w:rsidR="00F04C0B" w:rsidRPr="00F04C0B" w:rsidRDefault="00F04C0B" w:rsidP="00F04C0B">
      <w:pPr>
        <w:jc w:val="both"/>
        <w:rPr>
          <w:rFonts w:eastAsia="Calibri"/>
          <w:b/>
          <w:bCs/>
          <w:kern w:val="2"/>
          <w:sz w:val="22"/>
          <w:szCs w:val="22"/>
          <w14:ligatures w14:val="standardContextual"/>
        </w:rPr>
      </w:pPr>
    </w:p>
    <w:p w14:paraId="58ECCEE0"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Third Quarter 2023 Financial Results</w:t>
      </w:r>
    </w:p>
    <w:p w14:paraId="0FC94124" w14:textId="77777777" w:rsidR="00F04C0B" w:rsidRPr="00F04C0B" w:rsidRDefault="00F04C0B" w:rsidP="00F04C0B">
      <w:pPr>
        <w:jc w:val="both"/>
        <w:rPr>
          <w:rFonts w:eastAsia="Calibri"/>
          <w:b/>
          <w:bCs/>
          <w:kern w:val="2"/>
          <w:sz w:val="22"/>
          <w:szCs w:val="22"/>
          <w14:ligatures w14:val="standardContextual"/>
        </w:rPr>
      </w:pPr>
    </w:p>
    <w:p w14:paraId="36D4CCC8" w14:textId="77777777" w:rsidR="00F04C0B" w:rsidRPr="00F04C0B" w:rsidRDefault="00F04C0B" w:rsidP="00F04C0B">
      <w:pPr>
        <w:shd w:val="clear" w:color="auto" w:fill="FFFFFF"/>
        <w:jc w:val="both"/>
        <w:rPr>
          <w:color w:val="000000"/>
          <w:sz w:val="22"/>
          <w:szCs w:val="22"/>
        </w:rPr>
      </w:pPr>
      <w:r w:rsidRPr="00F04C0B">
        <w:rPr>
          <w:b/>
          <w:bCs/>
          <w:color w:val="000000"/>
          <w:sz w:val="22"/>
          <w:szCs w:val="22"/>
        </w:rPr>
        <w:t>Net Loss</w:t>
      </w:r>
      <w:r w:rsidRPr="00F04C0B">
        <w:rPr>
          <w:color w:val="000000"/>
          <w:sz w:val="22"/>
          <w:szCs w:val="22"/>
        </w:rPr>
        <w:t>: Net loss for the three months ended September 30, 2023, was $8,408,818, or $0.32 per share, as compared to $3,968,102, or $0.17 per share, for the comparable period in 2022. For the nine months ended September 30, 2023, the Company’s net loss was $18,374,354 ($0.69 per share) as compared to a net loss of $8,637,316 ($0.63 per share) in 2022.</w:t>
      </w:r>
    </w:p>
    <w:p w14:paraId="1CC0F22B" w14:textId="77777777" w:rsidR="00F04C0B" w:rsidRPr="00F04C0B" w:rsidRDefault="00F04C0B" w:rsidP="00F04C0B">
      <w:pPr>
        <w:shd w:val="clear" w:color="auto" w:fill="FFFFFF"/>
        <w:jc w:val="both"/>
        <w:rPr>
          <w:color w:val="000000"/>
          <w:sz w:val="22"/>
          <w:szCs w:val="22"/>
        </w:rPr>
      </w:pPr>
    </w:p>
    <w:p w14:paraId="31172979" w14:textId="77777777" w:rsidR="00F04C0B" w:rsidRPr="00F04C0B" w:rsidRDefault="00F04C0B" w:rsidP="00F04C0B">
      <w:pPr>
        <w:shd w:val="clear" w:color="auto" w:fill="FFFFFF"/>
        <w:jc w:val="both"/>
        <w:rPr>
          <w:color w:val="000000"/>
          <w:sz w:val="22"/>
          <w:szCs w:val="22"/>
        </w:rPr>
      </w:pPr>
      <w:r w:rsidRPr="00F04C0B">
        <w:rPr>
          <w:b/>
          <w:bCs/>
          <w:color w:val="000000"/>
          <w:sz w:val="22"/>
          <w:szCs w:val="22"/>
        </w:rPr>
        <w:t>R&amp;D Expenses</w:t>
      </w:r>
      <w:r w:rsidRPr="00F04C0B">
        <w:rPr>
          <w:color w:val="000000"/>
          <w:sz w:val="22"/>
          <w:szCs w:val="22"/>
        </w:rPr>
        <w:t xml:space="preserve">: Research and development expenses were $6,947,979 and $14,486,896 for the three-month and nine-month periods ended September 30, 2023, compared to $2,721,196 and $5,358,917 for the comparable periods in 2022, with the increase primarily due to </w:t>
      </w:r>
      <w:r w:rsidRPr="00F04C0B">
        <w:rPr>
          <w:sz w:val="22"/>
          <w:szCs w:val="22"/>
        </w:rPr>
        <w:t>the cost of conducting clinical trials for GEO-CM04S1 and Gedeptin, costs of manufacturing materials for use in our clinical trials, additional personnel costs, technology license fees, costs of preclinical research activities and a generally higher level of activity.</w:t>
      </w:r>
    </w:p>
    <w:p w14:paraId="609ED63B" w14:textId="77777777" w:rsidR="00F04C0B" w:rsidRPr="00F04C0B" w:rsidRDefault="00F04C0B" w:rsidP="00F04C0B">
      <w:pPr>
        <w:shd w:val="clear" w:color="auto" w:fill="FFFFFF"/>
        <w:jc w:val="both"/>
        <w:rPr>
          <w:color w:val="000000"/>
          <w:sz w:val="22"/>
          <w:szCs w:val="22"/>
        </w:rPr>
      </w:pPr>
    </w:p>
    <w:p w14:paraId="488D7604" w14:textId="77777777" w:rsidR="00F04C0B" w:rsidRPr="00F04C0B" w:rsidRDefault="00F04C0B" w:rsidP="00F04C0B">
      <w:pPr>
        <w:shd w:val="clear" w:color="auto" w:fill="FFFFFF"/>
        <w:jc w:val="both"/>
        <w:rPr>
          <w:color w:val="000000"/>
          <w:sz w:val="22"/>
          <w:szCs w:val="22"/>
        </w:rPr>
      </w:pPr>
      <w:r w:rsidRPr="00F04C0B">
        <w:rPr>
          <w:b/>
          <w:bCs/>
          <w:color w:val="000000"/>
          <w:sz w:val="22"/>
          <w:szCs w:val="22"/>
        </w:rPr>
        <w:t>G&amp;A Expenses</w:t>
      </w:r>
      <w:r w:rsidRPr="00F04C0B">
        <w:rPr>
          <w:color w:val="000000"/>
          <w:sz w:val="22"/>
          <w:szCs w:val="22"/>
        </w:rPr>
        <w:t>: General and administrative expenses were $1,651,775 and $4,562,293 for the three-month and nine-month periods ended September 30, 2023, compared to $1,249,337 and $3,363,672 for the comparable periods in 2022, with the increase primarily due to higher personnel costs, investor relations consulting costs, patent costs and other expenses supportive of a higher level of activity.</w:t>
      </w:r>
    </w:p>
    <w:p w14:paraId="75F55676" w14:textId="77777777" w:rsidR="00F04C0B" w:rsidRPr="00F04C0B" w:rsidRDefault="00F04C0B" w:rsidP="00F04C0B">
      <w:pPr>
        <w:shd w:val="clear" w:color="auto" w:fill="FFFFFF"/>
        <w:jc w:val="both"/>
        <w:rPr>
          <w:color w:val="000000"/>
          <w:sz w:val="22"/>
          <w:szCs w:val="22"/>
        </w:rPr>
      </w:pPr>
    </w:p>
    <w:p w14:paraId="6002D2FE" w14:textId="77777777" w:rsidR="00F04C0B" w:rsidRPr="00F04C0B" w:rsidRDefault="00F04C0B" w:rsidP="00F04C0B">
      <w:pPr>
        <w:shd w:val="clear" w:color="auto" w:fill="FFFFFF"/>
        <w:jc w:val="both"/>
        <w:rPr>
          <w:color w:val="000000"/>
          <w:sz w:val="22"/>
          <w:szCs w:val="22"/>
        </w:rPr>
      </w:pPr>
      <w:r w:rsidRPr="00F04C0B">
        <w:rPr>
          <w:b/>
          <w:bCs/>
          <w:color w:val="000000"/>
          <w:sz w:val="22"/>
          <w:szCs w:val="22"/>
        </w:rPr>
        <w:t>Cash Position</w:t>
      </w:r>
      <w:r w:rsidRPr="00F04C0B">
        <w:rPr>
          <w:color w:val="000000"/>
          <w:sz w:val="22"/>
          <w:szCs w:val="22"/>
        </w:rPr>
        <w:t>: GeoVax reported cash balances of $12,687,041 on September 30, 2023, as compared to $27,612,732 on December 31, 2023.</w:t>
      </w:r>
    </w:p>
    <w:p w14:paraId="67654A4A" w14:textId="77777777" w:rsidR="00F04C0B" w:rsidRPr="00F04C0B" w:rsidRDefault="00F04C0B" w:rsidP="00F04C0B">
      <w:pPr>
        <w:shd w:val="clear" w:color="auto" w:fill="FFFFFF"/>
        <w:jc w:val="both"/>
        <w:rPr>
          <w:color w:val="000000"/>
          <w:sz w:val="22"/>
          <w:szCs w:val="22"/>
        </w:rPr>
      </w:pPr>
    </w:p>
    <w:p w14:paraId="33DFE7ED" w14:textId="77777777" w:rsidR="00F04C0B" w:rsidRPr="00F04C0B" w:rsidRDefault="00F04C0B" w:rsidP="00F04C0B">
      <w:pPr>
        <w:shd w:val="clear" w:color="auto" w:fill="FFFFFF"/>
        <w:jc w:val="both"/>
        <w:rPr>
          <w:color w:val="000000"/>
          <w:sz w:val="22"/>
          <w:szCs w:val="22"/>
        </w:rPr>
      </w:pPr>
      <w:r w:rsidRPr="00F04C0B">
        <w:rPr>
          <w:color w:val="000000"/>
          <w:sz w:val="22"/>
          <w:szCs w:val="22"/>
        </w:rPr>
        <w:t>Further information is included in the Company’s Quarterly Report on Form 10-Q filed with the Securities and Exchange Commission.</w:t>
      </w:r>
    </w:p>
    <w:p w14:paraId="2FD15048" w14:textId="77777777" w:rsidR="00F04C0B" w:rsidRPr="00F04C0B" w:rsidRDefault="00F04C0B" w:rsidP="00F04C0B">
      <w:pPr>
        <w:jc w:val="both"/>
        <w:rPr>
          <w:rFonts w:eastAsia="Calibri"/>
          <w:b/>
          <w:bCs/>
          <w:kern w:val="2"/>
          <w:sz w:val="22"/>
          <w:szCs w:val="22"/>
          <w14:ligatures w14:val="standardContextual"/>
        </w:rPr>
      </w:pPr>
    </w:p>
    <w:p w14:paraId="0C01A430"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Conference Call Details</w:t>
      </w:r>
    </w:p>
    <w:p w14:paraId="36048A99" w14:textId="77777777" w:rsidR="00F04C0B" w:rsidRPr="00F04C0B" w:rsidRDefault="00F04C0B" w:rsidP="00F04C0B">
      <w:pPr>
        <w:jc w:val="both"/>
        <w:rPr>
          <w:rFonts w:eastAsia="Calibri"/>
          <w:b/>
          <w:bCs/>
          <w:kern w:val="2"/>
          <w:sz w:val="22"/>
          <w:szCs w:val="22"/>
          <w14:ligatures w14:val="standardContextual"/>
        </w:rPr>
      </w:pPr>
    </w:p>
    <w:p w14:paraId="6745DC28" w14:textId="77777777" w:rsidR="00F04C0B" w:rsidRPr="00F04C0B" w:rsidRDefault="00F04C0B" w:rsidP="00F04C0B">
      <w:pPr>
        <w:jc w:val="both"/>
        <w:rPr>
          <w:rFonts w:eastAsia="Calibri"/>
          <w:kern w:val="2"/>
          <w:sz w:val="22"/>
          <w:szCs w:val="22"/>
          <w14:ligatures w14:val="standardContextual"/>
        </w:rPr>
      </w:pPr>
      <w:r w:rsidRPr="00F04C0B">
        <w:rPr>
          <w:rFonts w:eastAsia="Calibri"/>
          <w:kern w:val="2"/>
          <w:sz w:val="22"/>
          <w:szCs w:val="22"/>
          <w14:ligatures w14:val="standardContextual"/>
        </w:rPr>
        <w:t>Management will host a conference call scheduled to begin at 4:30 p.m. ET today, November 8, 2023, to review financial results and provide an update on corporate developments. A question-and-answer session will follow management’s formal remarks.</w:t>
      </w:r>
    </w:p>
    <w:p w14:paraId="7E1BDCCB" w14:textId="77777777" w:rsidR="00F04C0B" w:rsidRPr="00F04C0B" w:rsidRDefault="00F04C0B" w:rsidP="00F04C0B">
      <w:pPr>
        <w:jc w:val="both"/>
        <w:rPr>
          <w:rFonts w:eastAsia="Calibri"/>
          <w:b/>
          <w:bCs/>
          <w:kern w:val="2"/>
          <w:sz w:val="22"/>
          <w:szCs w:val="22"/>
          <w14:ligatures w14:val="standardContextual"/>
        </w:rPr>
      </w:pPr>
    </w:p>
    <w:p w14:paraId="0DF25807"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Domestic: +</w:t>
      </w:r>
      <w:r w:rsidRPr="00F04C0B">
        <w:rPr>
          <w:sz w:val="22"/>
          <w:szCs w:val="22"/>
        </w:rPr>
        <w:t>1-800-715-9871</w:t>
      </w:r>
    </w:p>
    <w:p w14:paraId="2527B6D2"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International: +</w:t>
      </w:r>
      <w:r w:rsidRPr="00F04C0B">
        <w:rPr>
          <w:sz w:val="22"/>
          <w:szCs w:val="22"/>
        </w:rPr>
        <w:t>1-646-307-1963</w:t>
      </w:r>
    </w:p>
    <w:p w14:paraId="7F9D6B8E"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 xml:space="preserve">Conference ID: </w:t>
      </w:r>
      <w:r w:rsidRPr="00F04C0B">
        <w:rPr>
          <w:rFonts w:eastAsia="Calibri"/>
          <w:kern w:val="2"/>
          <w:sz w:val="22"/>
          <w:szCs w:val="22"/>
          <w14:ligatures w14:val="standardContextual"/>
        </w:rPr>
        <w:t>7519986</w:t>
      </w:r>
    </w:p>
    <w:p w14:paraId="55341B8C" w14:textId="77777777" w:rsidR="00F04C0B" w:rsidRPr="00F04C0B" w:rsidRDefault="00F04C0B" w:rsidP="00F04C0B">
      <w:pPr>
        <w:jc w:val="both"/>
        <w:rPr>
          <w:rFonts w:eastAsia="Calibri"/>
          <w:b/>
          <w:bCs/>
          <w:kern w:val="2"/>
          <w:sz w:val="22"/>
          <w:szCs w:val="22"/>
          <w14:ligatures w14:val="standardContextual"/>
        </w:rPr>
      </w:pPr>
      <w:r w:rsidRPr="00F04C0B">
        <w:rPr>
          <w:rFonts w:eastAsia="Calibri"/>
          <w:b/>
          <w:bCs/>
          <w:kern w:val="2"/>
          <w:sz w:val="22"/>
          <w:szCs w:val="22"/>
          <w14:ligatures w14:val="standardContextual"/>
        </w:rPr>
        <w:t xml:space="preserve">Webcast: </w:t>
      </w:r>
      <w:hyperlink r:id="rId10" w:history="1">
        <w:r w:rsidRPr="00F04C0B">
          <w:rPr>
            <w:rFonts w:eastAsia="Calibri"/>
            <w:color w:val="0000FF"/>
            <w:kern w:val="2"/>
            <w:sz w:val="22"/>
            <w:szCs w:val="22"/>
            <w:u w:val="single"/>
            <w14:ligatures w14:val="standardContextual"/>
          </w:rPr>
          <w:t>https://edge.media-server.com/mmc/p/r4i9d5j7</w:t>
        </w:r>
      </w:hyperlink>
    </w:p>
    <w:p w14:paraId="4B11B887" w14:textId="77777777" w:rsidR="00F04C0B" w:rsidRPr="00F04C0B" w:rsidRDefault="00F04C0B" w:rsidP="00F04C0B">
      <w:pPr>
        <w:jc w:val="both"/>
        <w:rPr>
          <w:rFonts w:eastAsia="Calibri"/>
          <w:b/>
          <w:bCs/>
          <w:kern w:val="2"/>
          <w:sz w:val="22"/>
          <w:szCs w:val="22"/>
          <w14:ligatures w14:val="standardContextual"/>
        </w:rPr>
      </w:pPr>
    </w:p>
    <w:p w14:paraId="01E0F7C0" w14:textId="77777777" w:rsidR="00F04C0B" w:rsidRPr="00F04C0B" w:rsidRDefault="00F04C0B" w:rsidP="00F04C0B">
      <w:pPr>
        <w:jc w:val="both"/>
        <w:rPr>
          <w:rFonts w:eastAsia="Calibri"/>
          <w:kern w:val="2"/>
          <w:sz w:val="22"/>
          <w:szCs w:val="22"/>
          <w14:ligatures w14:val="standardContextual"/>
        </w:rPr>
      </w:pPr>
      <w:r w:rsidRPr="00F04C0B">
        <w:rPr>
          <w:rFonts w:eastAsia="Calibri"/>
          <w:kern w:val="2"/>
          <w:sz w:val="22"/>
          <w:szCs w:val="22"/>
          <w14:ligatures w14:val="standardContextual"/>
        </w:rPr>
        <w:t xml:space="preserve">A webcast replay of the call will be available for three months via the same link as the live webcast approximately two hours after the end of the call. </w:t>
      </w:r>
    </w:p>
    <w:p w14:paraId="2E8D3906" w14:textId="77777777" w:rsidR="00F04C0B" w:rsidRPr="00F04C0B" w:rsidRDefault="00F04C0B" w:rsidP="00F04C0B">
      <w:pPr>
        <w:jc w:val="both"/>
        <w:rPr>
          <w:bCs/>
          <w:color w:val="000000"/>
          <w:sz w:val="22"/>
          <w:szCs w:val="22"/>
        </w:rPr>
      </w:pPr>
    </w:p>
    <w:p w14:paraId="7AD15E77" w14:textId="77777777" w:rsidR="00F04C0B" w:rsidRPr="00F04C0B" w:rsidRDefault="00F04C0B" w:rsidP="00F04C0B">
      <w:pPr>
        <w:widowControl w:val="0"/>
        <w:autoSpaceDE w:val="0"/>
        <w:autoSpaceDN w:val="0"/>
        <w:adjustRightInd w:val="0"/>
        <w:jc w:val="both"/>
        <w:outlineLvl w:val="0"/>
        <w:rPr>
          <w:rFonts w:eastAsia="SimSun"/>
          <w:color w:val="000000"/>
          <w:sz w:val="22"/>
          <w:szCs w:val="22"/>
        </w:rPr>
      </w:pPr>
      <w:bookmarkStart w:id="0" w:name="_Hlk135652404"/>
      <w:r w:rsidRPr="00F04C0B">
        <w:rPr>
          <w:rFonts w:eastAsia="SimSun"/>
          <w:b/>
          <w:bCs/>
          <w:color w:val="000000"/>
          <w:sz w:val="22"/>
          <w:szCs w:val="22"/>
        </w:rPr>
        <w:t>About GeoVax</w:t>
      </w:r>
    </w:p>
    <w:bookmarkEnd w:id="0"/>
    <w:p w14:paraId="4D21F06B" w14:textId="77777777" w:rsidR="00F04C0B" w:rsidRPr="00F04C0B" w:rsidRDefault="00F04C0B" w:rsidP="00F04C0B">
      <w:pPr>
        <w:widowControl w:val="0"/>
        <w:autoSpaceDE w:val="0"/>
        <w:autoSpaceDN w:val="0"/>
        <w:adjustRightInd w:val="0"/>
        <w:jc w:val="both"/>
        <w:outlineLvl w:val="0"/>
        <w:rPr>
          <w:rFonts w:eastAsia="SimSun"/>
          <w:color w:val="000000"/>
          <w:sz w:val="22"/>
          <w:szCs w:val="22"/>
        </w:rPr>
      </w:pPr>
    </w:p>
    <w:p w14:paraId="2A111602" w14:textId="77777777" w:rsidR="00F04C0B" w:rsidRPr="00F04C0B" w:rsidRDefault="00F04C0B" w:rsidP="00F04C0B">
      <w:pPr>
        <w:widowControl w:val="0"/>
        <w:autoSpaceDE w:val="0"/>
        <w:autoSpaceDN w:val="0"/>
        <w:adjustRightInd w:val="0"/>
        <w:jc w:val="both"/>
        <w:outlineLvl w:val="0"/>
        <w:rPr>
          <w:rFonts w:eastAsia="SimSun"/>
          <w:color w:val="000000"/>
          <w:sz w:val="22"/>
          <w:szCs w:val="22"/>
        </w:rPr>
      </w:pPr>
      <w:r w:rsidRPr="00F04C0B">
        <w:rPr>
          <w:rFonts w:eastAsia="SimSun"/>
          <w:color w:val="000000"/>
          <w:sz w:val="22"/>
          <w:szCs w:val="22"/>
        </w:rPr>
        <w:lastRenderedPageBreak/>
        <w:t>GeoVax Labs, Inc. is a clinical-stage biotechnology company developing novel therapies and vaccines for solid tumor cancers and many of the world’s most threatening infectious diseases. The company’s lead program in oncology is a novel oncolytic solid tumor gene-directed therapy, Gedeptin</w:t>
      </w:r>
      <w:r w:rsidRPr="00F04C0B">
        <w:rPr>
          <w:rFonts w:eastAsia="SimSun"/>
          <w:color w:val="000000"/>
          <w:sz w:val="22"/>
          <w:szCs w:val="22"/>
          <w:vertAlign w:val="superscript"/>
        </w:rPr>
        <w:t>®</w:t>
      </w:r>
      <w:r w:rsidRPr="00F04C0B">
        <w:rPr>
          <w:rFonts w:eastAsia="SimSun"/>
          <w:color w:val="000000"/>
          <w:sz w:val="22"/>
          <w:szCs w:val="22"/>
        </w:rPr>
        <w:t>, presently in a multicenter Phase 1/2 clinical trial for advanced head and neck cancers. GeoVax’s lead infectious disease candidate is GEO-CM04S1, a next-generation COVID-19 vaccine targeting high-risk immunocompromised patient populations. Currently in three Phase 2 clinical trials, GEO-CM04S1 is being evaluated as a primary vaccine for immunocompromised patients such as those suffering from hematologic cancers and other patient populations for whom the current authorized COVID-19 vaccines are insufficient, and as a booster vaccine in patients with chronic lymphocytic leukemia (CLL). In addition, GEO-CM04S1 is in a Phase 2 clinical trial evaluating the vaccine as a more robust, durable COVID-19 booster among healthy patients who previously received the mRNA vaccines. GeoVax has a leadership team who have driven significant value creation across multiple life science companies over the past several decades. For more information, visit our website: www.geovax.com.</w:t>
      </w:r>
    </w:p>
    <w:p w14:paraId="6C861C19" w14:textId="77777777" w:rsidR="00F04C0B" w:rsidRPr="00F04C0B" w:rsidRDefault="00F04C0B" w:rsidP="00F04C0B">
      <w:pPr>
        <w:widowControl w:val="0"/>
        <w:autoSpaceDE w:val="0"/>
        <w:autoSpaceDN w:val="0"/>
        <w:adjustRightInd w:val="0"/>
        <w:jc w:val="both"/>
        <w:outlineLvl w:val="0"/>
        <w:rPr>
          <w:rFonts w:eastAsia="SimSun"/>
          <w:bCs/>
          <w:iCs/>
          <w:sz w:val="22"/>
          <w:szCs w:val="22"/>
        </w:rPr>
      </w:pPr>
    </w:p>
    <w:p w14:paraId="6FF0CEF5" w14:textId="77777777" w:rsidR="00F04C0B" w:rsidRPr="00F04C0B" w:rsidRDefault="00F04C0B" w:rsidP="00F04C0B">
      <w:pPr>
        <w:jc w:val="both"/>
        <w:rPr>
          <w:b/>
          <w:bCs/>
          <w:i/>
          <w:iCs/>
          <w:sz w:val="20"/>
          <w:szCs w:val="20"/>
        </w:rPr>
      </w:pPr>
      <w:r w:rsidRPr="00F04C0B">
        <w:rPr>
          <w:b/>
          <w:bCs/>
          <w:i/>
          <w:iCs/>
          <w:sz w:val="20"/>
          <w:szCs w:val="20"/>
        </w:rPr>
        <w:t>Forward-Looking Statements</w:t>
      </w:r>
    </w:p>
    <w:p w14:paraId="04409228" w14:textId="77777777" w:rsidR="00F04C0B" w:rsidRPr="00F04C0B" w:rsidRDefault="00F04C0B" w:rsidP="00F04C0B">
      <w:pPr>
        <w:shd w:val="clear" w:color="auto" w:fill="FFFFFF"/>
        <w:jc w:val="both"/>
        <w:rPr>
          <w:i/>
          <w:iCs/>
          <w:sz w:val="20"/>
          <w:szCs w:val="20"/>
        </w:rPr>
      </w:pPr>
    </w:p>
    <w:p w14:paraId="3C33B377" w14:textId="77777777" w:rsidR="00F04C0B" w:rsidRPr="00F04C0B" w:rsidRDefault="00F04C0B" w:rsidP="00F04C0B">
      <w:pPr>
        <w:shd w:val="clear" w:color="auto" w:fill="FFFFFF"/>
        <w:jc w:val="both"/>
        <w:rPr>
          <w:i/>
          <w:iCs/>
          <w:sz w:val="20"/>
          <w:szCs w:val="20"/>
        </w:rPr>
      </w:pPr>
      <w:r w:rsidRPr="00F04C0B">
        <w:rPr>
          <w:i/>
          <w:iCs/>
          <w:sz w:val="20"/>
          <w:szCs w:val="2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2678B925" w14:textId="77777777" w:rsidR="00F04C0B" w:rsidRPr="00F04C0B" w:rsidRDefault="00F04C0B" w:rsidP="00F04C0B">
      <w:pPr>
        <w:shd w:val="clear" w:color="auto" w:fill="FFFFFF"/>
        <w:jc w:val="both"/>
        <w:rPr>
          <w:i/>
          <w:iCs/>
          <w:sz w:val="20"/>
          <w:szCs w:val="20"/>
        </w:rPr>
      </w:pPr>
    </w:p>
    <w:p w14:paraId="00637CEA" w14:textId="77777777" w:rsidR="00F04C0B" w:rsidRPr="00F04C0B" w:rsidRDefault="00F04C0B" w:rsidP="00F04C0B">
      <w:pPr>
        <w:shd w:val="clear" w:color="auto" w:fill="FFFFFF"/>
        <w:jc w:val="both"/>
        <w:rPr>
          <w:i/>
          <w:iCs/>
          <w:sz w:val="20"/>
          <w:szCs w:val="20"/>
        </w:rPr>
      </w:pPr>
      <w:r w:rsidRPr="00F04C0B">
        <w:rPr>
          <w:i/>
          <w:iCs/>
          <w:sz w:val="20"/>
          <w:szCs w:val="20"/>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F04C0B">
        <w:rPr>
          <w:i/>
          <w:iCs/>
          <w:sz w:val="20"/>
          <w:szCs w:val="20"/>
        </w:rPr>
        <w:t>as a result of</w:t>
      </w:r>
      <w:proofErr w:type="gramEnd"/>
      <w:r w:rsidRPr="00F04C0B">
        <w:rPr>
          <w:i/>
          <w:iCs/>
          <w:sz w:val="20"/>
          <w:szCs w:val="20"/>
        </w:rPr>
        <w:t xml:space="preserve"> new information, future developments or otherwise, except as may be required by law. </w:t>
      </w:r>
    </w:p>
    <w:p w14:paraId="03BBC087" w14:textId="77777777" w:rsidR="00F04C0B" w:rsidRPr="00F04C0B" w:rsidRDefault="00F04C0B" w:rsidP="00F04C0B">
      <w:pPr>
        <w:rPr>
          <w:bCs/>
          <w:sz w:val="22"/>
          <w:szCs w:val="22"/>
        </w:rPr>
      </w:pPr>
    </w:p>
    <w:p w14:paraId="54D5B244" w14:textId="77777777" w:rsidR="00F04C0B" w:rsidRPr="00F04C0B" w:rsidRDefault="00F04C0B" w:rsidP="00F04C0B">
      <w:pPr>
        <w:jc w:val="both"/>
        <w:rPr>
          <w:bCs/>
          <w:sz w:val="22"/>
          <w:szCs w:val="22"/>
        </w:rPr>
      </w:pPr>
    </w:p>
    <w:p w14:paraId="2524BDE5" w14:textId="77777777" w:rsidR="00F04C0B" w:rsidRPr="00F04C0B" w:rsidRDefault="00F04C0B" w:rsidP="00F04C0B">
      <w:pPr>
        <w:tabs>
          <w:tab w:val="left" w:pos="2880"/>
          <w:tab w:val="left" w:pos="6480"/>
        </w:tabs>
        <w:jc w:val="both"/>
        <w:rPr>
          <w:b/>
          <w:sz w:val="22"/>
          <w:szCs w:val="22"/>
        </w:rPr>
      </w:pPr>
      <w:r w:rsidRPr="00F04C0B">
        <w:rPr>
          <w:b/>
          <w:sz w:val="22"/>
          <w:szCs w:val="22"/>
        </w:rPr>
        <w:t>Company Contact:</w:t>
      </w:r>
      <w:r w:rsidRPr="00F04C0B">
        <w:rPr>
          <w:b/>
          <w:sz w:val="22"/>
          <w:szCs w:val="22"/>
        </w:rPr>
        <w:tab/>
        <w:t>Investor Relations Contact:</w:t>
      </w:r>
      <w:r w:rsidRPr="00F04C0B">
        <w:rPr>
          <w:b/>
          <w:sz w:val="22"/>
          <w:szCs w:val="22"/>
        </w:rPr>
        <w:tab/>
        <w:t>Media Contact:</w:t>
      </w:r>
    </w:p>
    <w:p w14:paraId="0D95D010" w14:textId="77777777" w:rsidR="00F04C0B" w:rsidRPr="00F04C0B" w:rsidRDefault="00F04C0B" w:rsidP="00F04C0B">
      <w:pPr>
        <w:tabs>
          <w:tab w:val="left" w:pos="2880"/>
          <w:tab w:val="left" w:pos="6480"/>
        </w:tabs>
        <w:jc w:val="both"/>
        <w:rPr>
          <w:bCs/>
          <w:sz w:val="22"/>
          <w:szCs w:val="22"/>
        </w:rPr>
      </w:pPr>
      <w:hyperlink r:id="rId11" w:history="1">
        <w:r w:rsidRPr="00F04C0B">
          <w:rPr>
            <w:bCs/>
            <w:color w:val="0000FF"/>
            <w:sz w:val="22"/>
            <w:szCs w:val="22"/>
            <w:u w:val="single"/>
          </w:rPr>
          <w:t>info@geovax.com</w:t>
        </w:r>
      </w:hyperlink>
      <w:r w:rsidRPr="00F04C0B">
        <w:rPr>
          <w:bCs/>
          <w:sz w:val="22"/>
          <w:szCs w:val="22"/>
        </w:rPr>
        <w:tab/>
      </w:r>
      <w:hyperlink r:id="rId12" w:history="1">
        <w:r w:rsidRPr="00F04C0B">
          <w:rPr>
            <w:bCs/>
            <w:color w:val="0000FF"/>
            <w:sz w:val="22"/>
            <w:szCs w:val="22"/>
            <w:u w:val="single"/>
          </w:rPr>
          <w:t>paige.kelly@sternir.com</w:t>
        </w:r>
      </w:hyperlink>
      <w:r w:rsidRPr="00F04C0B">
        <w:rPr>
          <w:bCs/>
          <w:sz w:val="22"/>
          <w:szCs w:val="22"/>
        </w:rPr>
        <w:tab/>
      </w:r>
      <w:hyperlink r:id="rId13" w:history="1">
        <w:r w:rsidRPr="00F04C0B">
          <w:rPr>
            <w:bCs/>
            <w:color w:val="0000FF"/>
            <w:sz w:val="22"/>
            <w:szCs w:val="22"/>
            <w:u w:val="single"/>
          </w:rPr>
          <w:t>sr@roberts-communications.com</w:t>
        </w:r>
      </w:hyperlink>
    </w:p>
    <w:p w14:paraId="475BAF6F" w14:textId="77777777" w:rsidR="00F04C0B" w:rsidRPr="00F04C0B" w:rsidRDefault="00F04C0B" w:rsidP="00F04C0B">
      <w:pPr>
        <w:tabs>
          <w:tab w:val="left" w:pos="2880"/>
          <w:tab w:val="left" w:pos="6480"/>
        </w:tabs>
        <w:jc w:val="both"/>
        <w:rPr>
          <w:bCs/>
          <w:sz w:val="22"/>
          <w:szCs w:val="22"/>
        </w:rPr>
      </w:pPr>
      <w:r w:rsidRPr="00F04C0B">
        <w:rPr>
          <w:bCs/>
          <w:sz w:val="22"/>
          <w:szCs w:val="22"/>
        </w:rPr>
        <w:t>678-384-7220</w:t>
      </w:r>
      <w:r w:rsidRPr="00F04C0B">
        <w:rPr>
          <w:bCs/>
          <w:sz w:val="22"/>
          <w:szCs w:val="22"/>
        </w:rPr>
        <w:tab/>
        <w:t>212-698-8699</w:t>
      </w:r>
      <w:r w:rsidRPr="00F04C0B">
        <w:rPr>
          <w:bCs/>
          <w:sz w:val="22"/>
          <w:szCs w:val="22"/>
        </w:rPr>
        <w:tab/>
        <w:t>202-779-0929</w:t>
      </w:r>
    </w:p>
    <w:p w14:paraId="236602F4" w14:textId="77777777" w:rsidR="00F04C0B" w:rsidRPr="00F04C0B" w:rsidRDefault="00F04C0B" w:rsidP="00F04C0B">
      <w:pPr>
        <w:widowControl w:val="0"/>
        <w:autoSpaceDE w:val="0"/>
        <w:autoSpaceDN w:val="0"/>
        <w:adjustRightInd w:val="0"/>
        <w:jc w:val="both"/>
        <w:rPr>
          <w:sz w:val="20"/>
          <w:szCs w:val="20"/>
        </w:rPr>
      </w:pPr>
    </w:p>
    <w:p w14:paraId="1B8C0503" w14:textId="77777777" w:rsidR="00F04C0B" w:rsidRPr="00F04C0B" w:rsidRDefault="00F04C0B" w:rsidP="00F04C0B">
      <w:pPr>
        <w:widowControl w:val="0"/>
        <w:autoSpaceDE w:val="0"/>
        <w:autoSpaceDN w:val="0"/>
        <w:adjustRightInd w:val="0"/>
        <w:jc w:val="both"/>
        <w:rPr>
          <w:sz w:val="20"/>
          <w:szCs w:val="20"/>
        </w:rPr>
      </w:pPr>
    </w:p>
    <w:p w14:paraId="65A90AAC" w14:textId="77777777" w:rsidR="00F04C0B" w:rsidRPr="00F04C0B" w:rsidRDefault="00F04C0B" w:rsidP="00F04C0B">
      <w:pPr>
        <w:widowControl w:val="0"/>
        <w:autoSpaceDE w:val="0"/>
        <w:autoSpaceDN w:val="0"/>
        <w:adjustRightInd w:val="0"/>
        <w:jc w:val="both"/>
        <w:rPr>
          <w:sz w:val="20"/>
          <w:szCs w:val="20"/>
        </w:rPr>
      </w:pPr>
    </w:p>
    <w:p w14:paraId="210B465F" w14:textId="77777777" w:rsidR="00F04C0B" w:rsidRPr="00F04C0B" w:rsidRDefault="00F04C0B" w:rsidP="00F04C0B">
      <w:pPr>
        <w:widowControl w:val="0"/>
        <w:autoSpaceDE w:val="0"/>
        <w:autoSpaceDN w:val="0"/>
        <w:adjustRightInd w:val="0"/>
        <w:jc w:val="both"/>
        <w:rPr>
          <w:sz w:val="20"/>
          <w:szCs w:val="20"/>
        </w:rPr>
      </w:pPr>
    </w:p>
    <w:p w14:paraId="489774D7" w14:textId="77777777" w:rsidR="00F04C0B" w:rsidRPr="00F04C0B" w:rsidRDefault="00F04C0B" w:rsidP="00F04C0B">
      <w:pPr>
        <w:rPr>
          <w:sz w:val="20"/>
          <w:szCs w:val="20"/>
        </w:rPr>
      </w:pPr>
      <w:r w:rsidRPr="00F04C0B">
        <w:rPr>
          <w:sz w:val="20"/>
          <w:szCs w:val="20"/>
        </w:rPr>
        <w:t> </w:t>
      </w:r>
    </w:p>
    <w:p w14:paraId="756A3D22" w14:textId="77777777" w:rsidR="00F04C0B" w:rsidRPr="00F04C0B" w:rsidRDefault="00F04C0B" w:rsidP="00F04C0B">
      <w:pPr>
        <w:widowControl w:val="0"/>
        <w:autoSpaceDE w:val="0"/>
        <w:autoSpaceDN w:val="0"/>
        <w:adjustRightInd w:val="0"/>
        <w:jc w:val="both"/>
        <w:rPr>
          <w:sz w:val="20"/>
          <w:szCs w:val="20"/>
        </w:rPr>
      </w:pPr>
    </w:p>
    <w:p w14:paraId="07B84A2D" w14:textId="77777777" w:rsidR="00F04C0B" w:rsidRPr="00F04C0B" w:rsidRDefault="00F04C0B" w:rsidP="00F04C0B">
      <w:pPr>
        <w:widowControl w:val="0"/>
        <w:autoSpaceDE w:val="0"/>
        <w:autoSpaceDN w:val="0"/>
        <w:adjustRightInd w:val="0"/>
        <w:jc w:val="center"/>
        <w:rPr>
          <w:sz w:val="20"/>
          <w:szCs w:val="20"/>
        </w:rPr>
      </w:pPr>
      <w:r w:rsidRPr="00F04C0B">
        <w:rPr>
          <w:b/>
          <w:sz w:val="20"/>
          <w:szCs w:val="20"/>
        </w:rPr>
        <w:t>FINANCIAL TABLES FOLLOW</w:t>
      </w:r>
    </w:p>
    <w:p w14:paraId="44024789" w14:textId="77777777" w:rsidR="00F04C0B" w:rsidRPr="00F04C0B" w:rsidRDefault="00F04C0B" w:rsidP="00F04C0B">
      <w:pPr>
        <w:widowControl w:val="0"/>
        <w:autoSpaceDE w:val="0"/>
        <w:autoSpaceDN w:val="0"/>
        <w:adjustRightInd w:val="0"/>
        <w:rPr>
          <w:sz w:val="20"/>
          <w:szCs w:val="20"/>
        </w:rPr>
        <w:sectPr w:rsidR="00F04C0B" w:rsidRPr="00F04C0B" w:rsidSect="00F04C0B">
          <w:footerReference w:type="default" r:id="rId14"/>
          <w:headerReference w:type="first" r:id="rId15"/>
          <w:footerReference w:type="first" r:id="rId16"/>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58"/>
        <w:gridCol w:w="2942"/>
        <w:gridCol w:w="477"/>
        <w:gridCol w:w="1204"/>
        <w:gridCol w:w="1204"/>
        <w:gridCol w:w="1204"/>
        <w:gridCol w:w="1204"/>
      </w:tblGrid>
      <w:tr w:rsidR="00F04C0B" w:rsidRPr="00F04C0B" w14:paraId="77DC4E78" w14:textId="77777777" w:rsidTr="00315ABB">
        <w:trPr>
          <w:cantSplit/>
          <w:trHeight w:val="293"/>
        </w:trPr>
        <w:tc>
          <w:tcPr>
            <w:tcW w:w="9930" w:type="dxa"/>
            <w:gridSpan w:val="8"/>
          </w:tcPr>
          <w:p w14:paraId="267F2C89" w14:textId="77777777" w:rsidR="00F04C0B" w:rsidRPr="00F04C0B" w:rsidRDefault="00F04C0B" w:rsidP="00F04C0B">
            <w:pPr>
              <w:widowControl w:val="0"/>
              <w:autoSpaceDE w:val="0"/>
              <w:autoSpaceDN w:val="0"/>
              <w:adjustRightInd w:val="0"/>
              <w:jc w:val="center"/>
              <w:rPr>
                <w:snapToGrid w:val="0"/>
                <w:sz w:val="20"/>
                <w:szCs w:val="20"/>
              </w:rPr>
            </w:pPr>
            <w:r w:rsidRPr="00F04C0B">
              <w:rPr>
                <w:b/>
                <w:bCs/>
                <w:snapToGrid w:val="0"/>
                <w:sz w:val="20"/>
                <w:szCs w:val="20"/>
              </w:rPr>
              <w:lastRenderedPageBreak/>
              <w:t>GEOVAX LABS, INC.</w:t>
            </w:r>
          </w:p>
        </w:tc>
      </w:tr>
      <w:tr w:rsidR="00F04C0B" w:rsidRPr="00F04C0B" w14:paraId="02CAAA73" w14:textId="77777777" w:rsidTr="00315ABB">
        <w:trPr>
          <w:cantSplit/>
          <w:trHeight w:val="293"/>
        </w:trPr>
        <w:tc>
          <w:tcPr>
            <w:tcW w:w="9930" w:type="dxa"/>
            <w:gridSpan w:val="8"/>
          </w:tcPr>
          <w:p w14:paraId="59BB5577" w14:textId="77777777" w:rsidR="00F04C0B" w:rsidRPr="00F04C0B" w:rsidRDefault="00F04C0B" w:rsidP="00F04C0B">
            <w:pPr>
              <w:widowControl w:val="0"/>
              <w:autoSpaceDE w:val="0"/>
              <w:autoSpaceDN w:val="0"/>
              <w:adjustRightInd w:val="0"/>
              <w:jc w:val="center"/>
              <w:rPr>
                <w:snapToGrid w:val="0"/>
                <w:sz w:val="20"/>
                <w:szCs w:val="20"/>
              </w:rPr>
            </w:pPr>
            <w:r w:rsidRPr="00F04C0B">
              <w:rPr>
                <w:b/>
                <w:bCs/>
                <w:snapToGrid w:val="0"/>
                <w:sz w:val="20"/>
                <w:szCs w:val="20"/>
              </w:rPr>
              <w:t>Condensed Consolidated Statements of Operations Information</w:t>
            </w:r>
          </w:p>
        </w:tc>
      </w:tr>
      <w:tr w:rsidR="00F04C0B" w:rsidRPr="00F04C0B" w14:paraId="0B7C8E87" w14:textId="77777777" w:rsidTr="00315ABB">
        <w:trPr>
          <w:cantSplit/>
          <w:trHeight w:val="293"/>
        </w:trPr>
        <w:tc>
          <w:tcPr>
            <w:tcW w:w="9930" w:type="dxa"/>
            <w:gridSpan w:val="8"/>
          </w:tcPr>
          <w:p w14:paraId="33F9A6B0" w14:textId="77777777" w:rsidR="00F04C0B" w:rsidRPr="00F04C0B" w:rsidRDefault="00F04C0B" w:rsidP="00F04C0B">
            <w:pPr>
              <w:widowControl w:val="0"/>
              <w:autoSpaceDE w:val="0"/>
              <w:autoSpaceDN w:val="0"/>
              <w:adjustRightInd w:val="0"/>
              <w:jc w:val="center"/>
              <w:rPr>
                <w:i/>
                <w:snapToGrid w:val="0"/>
                <w:sz w:val="20"/>
                <w:szCs w:val="20"/>
              </w:rPr>
            </w:pPr>
            <w:r w:rsidRPr="00F04C0B">
              <w:rPr>
                <w:bCs/>
                <w:i/>
                <w:snapToGrid w:val="0"/>
                <w:sz w:val="20"/>
                <w:szCs w:val="20"/>
              </w:rPr>
              <w:t>(amounts in thousands, except common share information)</w:t>
            </w:r>
          </w:p>
        </w:tc>
      </w:tr>
      <w:tr w:rsidR="00F04C0B" w:rsidRPr="00F04C0B" w14:paraId="4385C594" w14:textId="77777777" w:rsidTr="00315ABB">
        <w:trPr>
          <w:cantSplit/>
          <w:trHeight w:val="293"/>
        </w:trPr>
        <w:tc>
          <w:tcPr>
            <w:tcW w:w="9930" w:type="dxa"/>
            <w:gridSpan w:val="8"/>
          </w:tcPr>
          <w:p w14:paraId="44747A54" w14:textId="77777777" w:rsidR="00F04C0B" w:rsidRPr="00F04C0B" w:rsidRDefault="00F04C0B" w:rsidP="00F04C0B">
            <w:pPr>
              <w:widowControl w:val="0"/>
              <w:autoSpaceDE w:val="0"/>
              <w:autoSpaceDN w:val="0"/>
              <w:adjustRightInd w:val="0"/>
              <w:jc w:val="center"/>
              <w:rPr>
                <w:bCs/>
                <w:i/>
                <w:snapToGrid w:val="0"/>
                <w:sz w:val="20"/>
                <w:szCs w:val="20"/>
              </w:rPr>
            </w:pPr>
          </w:p>
        </w:tc>
      </w:tr>
      <w:tr w:rsidR="00F04C0B" w:rsidRPr="00F04C0B" w14:paraId="07053F91" w14:textId="77777777" w:rsidTr="00315ABB">
        <w:trPr>
          <w:trHeight w:val="276"/>
        </w:trPr>
        <w:tc>
          <w:tcPr>
            <w:tcW w:w="237" w:type="dxa"/>
          </w:tcPr>
          <w:p w14:paraId="7DF9892A"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69101E9F"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2A739819"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2F9EC4DC"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416" w:type="dxa"/>
            <w:gridSpan w:val="2"/>
          </w:tcPr>
          <w:p w14:paraId="78F2F439" w14:textId="77777777" w:rsidR="00F04C0B" w:rsidRPr="00F04C0B" w:rsidRDefault="00F04C0B" w:rsidP="00F04C0B">
            <w:pPr>
              <w:widowControl w:val="0"/>
              <w:autoSpaceDE w:val="0"/>
              <w:autoSpaceDN w:val="0"/>
              <w:adjustRightInd w:val="0"/>
              <w:spacing w:line="276" w:lineRule="auto"/>
              <w:ind w:right="-210"/>
              <w:jc w:val="center"/>
              <w:rPr>
                <w:snapToGrid w:val="0"/>
                <w:sz w:val="20"/>
                <w:szCs w:val="20"/>
              </w:rPr>
            </w:pPr>
            <w:r w:rsidRPr="00F04C0B">
              <w:rPr>
                <w:snapToGrid w:val="0"/>
                <w:sz w:val="20"/>
                <w:szCs w:val="20"/>
              </w:rPr>
              <w:t>Three Months Ended</w:t>
            </w:r>
          </w:p>
        </w:tc>
        <w:tc>
          <w:tcPr>
            <w:tcW w:w="2416" w:type="dxa"/>
            <w:gridSpan w:val="2"/>
          </w:tcPr>
          <w:p w14:paraId="1B9039C7"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Nine Months Ended</w:t>
            </w:r>
          </w:p>
        </w:tc>
      </w:tr>
      <w:tr w:rsidR="00F04C0B" w:rsidRPr="00F04C0B" w14:paraId="47D92D37" w14:textId="77777777" w:rsidTr="00315ABB">
        <w:trPr>
          <w:trHeight w:val="276"/>
        </w:trPr>
        <w:tc>
          <w:tcPr>
            <w:tcW w:w="237" w:type="dxa"/>
          </w:tcPr>
          <w:p w14:paraId="6F6460F5"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78E89B8D"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0EA45681"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51974417"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416" w:type="dxa"/>
            <w:gridSpan w:val="2"/>
            <w:tcBorders>
              <w:bottom w:val="single" w:sz="4" w:space="0" w:color="auto"/>
            </w:tcBorders>
          </w:tcPr>
          <w:p w14:paraId="331C0D28"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September 30,</w:t>
            </w:r>
          </w:p>
        </w:tc>
        <w:tc>
          <w:tcPr>
            <w:tcW w:w="2416" w:type="dxa"/>
            <w:gridSpan w:val="2"/>
            <w:tcBorders>
              <w:bottom w:val="single" w:sz="6" w:space="0" w:color="auto"/>
            </w:tcBorders>
          </w:tcPr>
          <w:p w14:paraId="56319976"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 xml:space="preserve">September 30, </w:t>
            </w:r>
          </w:p>
        </w:tc>
      </w:tr>
      <w:tr w:rsidR="00F04C0B" w:rsidRPr="00F04C0B" w14:paraId="14485335" w14:textId="77777777" w:rsidTr="00315ABB">
        <w:trPr>
          <w:trHeight w:val="276"/>
        </w:trPr>
        <w:tc>
          <w:tcPr>
            <w:tcW w:w="237" w:type="dxa"/>
          </w:tcPr>
          <w:p w14:paraId="71A87FA7"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6836205A"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7F84121B"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08B787DA"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top w:val="single" w:sz="4" w:space="0" w:color="auto"/>
              <w:bottom w:val="single" w:sz="4" w:space="0" w:color="auto"/>
            </w:tcBorders>
          </w:tcPr>
          <w:p w14:paraId="03E37B5C"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2023</w:t>
            </w:r>
          </w:p>
        </w:tc>
        <w:tc>
          <w:tcPr>
            <w:tcW w:w="1208" w:type="dxa"/>
            <w:tcBorders>
              <w:top w:val="single" w:sz="4" w:space="0" w:color="auto"/>
              <w:bottom w:val="single" w:sz="4" w:space="0" w:color="auto"/>
            </w:tcBorders>
          </w:tcPr>
          <w:p w14:paraId="49001EA3"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2022</w:t>
            </w:r>
          </w:p>
        </w:tc>
        <w:tc>
          <w:tcPr>
            <w:tcW w:w="1208" w:type="dxa"/>
            <w:tcBorders>
              <w:bottom w:val="single" w:sz="4" w:space="0" w:color="auto"/>
            </w:tcBorders>
          </w:tcPr>
          <w:p w14:paraId="24A41F1F"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2023</w:t>
            </w:r>
          </w:p>
        </w:tc>
        <w:tc>
          <w:tcPr>
            <w:tcW w:w="1208" w:type="dxa"/>
            <w:tcBorders>
              <w:bottom w:val="single" w:sz="4" w:space="0" w:color="auto"/>
            </w:tcBorders>
          </w:tcPr>
          <w:p w14:paraId="474A9BD0" w14:textId="77777777" w:rsidR="00F04C0B" w:rsidRPr="00F04C0B" w:rsidRDefault="00F04C0B" w:rsidP="00F04C0B">
            <w:pPr>
              <w:widowControl w:val="0"/>
              <w:autoSpaceDE w:val="0"/>
              <w:autoSpaceDN w:val="0"/>
              <w:adjustRightInd w:val="0"/>
              <w:spacing w:line="276" w:lineRule="auto"/>
              <w:jc w:val="center"/>
              <w:rPr>
                <w:snapToGrid w:val="0"/>
                <w:sz w:val="20"/>
                <w:szCs w:val="20"/>
              </w:rPr>
            </w:pPr>
            <w:r w:rsidRPr="00F04C0B">
              <w:rPr>
                <w:snapToGrid w:val="0"/>
                <w:sz w:val="20"/>
                <w:szCs w:val="20"/>
              </w:rPr>
              <w:t>2022</w:t>
            </w:r>
          </w:p>
        </w:tc>
      </w:tr>
      <w:tr w:rsidR="00F04C0B" w:rsidRPr="00F04C0B" w14:paraId="45B67DFA" w14:textId="77777777" w:rsidTr="00315ABB">
        <w:trPr>
          <w:trHeight w:val="276"/>
        </w:trPr>
        <w:tc>
          <w:tcPr>
            <w:tcW w:w="4620" w:type="dxa"/>
            <w:gridSpan w:val="3"/>
          </w:tcPr>
          <w:p w14:paraId="35ACC729"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Grant revenue</w:t>
            </w:r>
          </w:p>
        </w:tc>
        <w:tc>
          <w:tcPr>
            <w:tcW w:w="478" w:type="dxa"/>
          </w:tcPr>
          <w:p w14:paraId="40613E7F"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Pr>
          <w:p w14:paraId="6DA7565D" w14:textId="77777777" w:rsidR="00F04C0B" w:rsidRPr="00F04C0B" w:rsidRDefault="00F04C0B" w:rsidP="00F04C0B">
            <w:pPr>
              <w:widowControl w:val="0"/>
              <w:tabs>
                <w:tab w:val="left" w:pos="150"/>
                <w:tab w:val="decimal" w:pos="96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w:t>
            </w:r>
          </w:p>
        </w:tc>
        <w:tc>
          <w:tcPr>
            <w:tcW w:w="1208" w:type="dxa"/>
          </w:tcPr>
          <w:p w14:paraId="47A931E2" w14:textId="77777777" w:rsidR="00F04C0B" w:rsidRPr="00F04C0B" w:rsidRDefault="00F04C0B" w:rsidP="00F04C0B">
            <w:pPr>
              <w:widowControl w:val="0"/>
              <w:tabs>
                <w:tab w:val="left" w:pos="190"/>
                <w:tab w:val="decimal" w:pos="91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w:t>
            </w:r>
          </w:p>
        </w:tc>
        <w:tc>
          <w:tcPr>
            <w:tcW w:w="1208" w:type="dxa"/>
          </w:tcPr>
          <w:p w14:paraId="40EB8DEF" w14:textId="77777777" w:rsidR="00F04C0B" w:rsidRPr="00F04C0B" w:rsidRDefault="00F04C0B" w:rsidP="00F04C0B">
            <w:pPr>
              <w:widowControl w:val="0"/>
              <w:tabs>
                <w:tab w:val="left" w:pos="140"/>
                <w:tab w:val="decimal" w:pos="86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w:t>
            </w:r>
          </w:p>
        </w:tc>
        <w:tc>
          <w:tcPr>
            <w:tcW w:w="1208" w:type="dxa"/>
          </w:tcPr>
          <w:p w14:paraId="27B0D3B5" w14:textId="77777777" w:rsidR="00F04C0B" w:rsidRPr="00F04C0B" w:rsidRDefault="00F04C0B" w:rsidP="00F04C0B">
            <w:pPr>
              <w:widowControl w:val="0"/>
              <w:tabs>
                <w:tab w:val="left" w:pos="97"/>
                <w:tab w:val="decimal" w:pos="907"/>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82</w:t>
            </w:r>
          </w:p>
        </w:tc>
      </w:tr>
      <w:tr w:rsidR="00F04C0B" w:rsidRPr="00F04C0B" w14:paraId="2181FB42" w14:textId="77777777" w:rsidTr="00315ABB">
        <w:trPr>
          <w:trHeight w:val="276"/>
        </w:trPr>
        <w:tc>
          <w:tcPr>
            <w:tcW w:w="237" w:type="dxa"/>
          </w:tcPr>
          <w:p w14:paraId="050BB4A5"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2D1DC2BC"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69C460E3"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2DC5E651"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Pr>
          <w:p w14:paraId="1C2182F3"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p>
        </w:tc>
        <w:tc>
          <w:tcPr>
            <w:tcW w:w="1208" w:type="dxa"/>
          </w:tcPr>
          <w:p w14:paraId="4CA96FBB"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p>
        </w:tc>
        <w:tc>
          <w:tcPr>
            <w:tcW w:w="1208" w:type="dxa"/>
          </w:tcPr>
          <w:p w14:paraId="1B302F67" w14:textId="77777777" w:rsidR="00F04C0B" w:rsidRPr="00F04C0B" w:rsidRDefault="00F04C0B" w:rsidP="00F04C0B">
            <w:pPr>
              <w:widowControl w:val="0"/>
              <w:tabs>
                <w:tab w:val="decimal" w:pos="860"/>
              </w:tabs>
              <w:autoSpaceDE w:val="0"/>
              <w:autoSpaceDN w:val="0"/>
              <w:adjustRightInd w:val="0"/>
              <w:spacing w:line="276" w:lineRule="auto"/>
              <w:jc w:val="center"/>
              <w:rPr>
                <w:snapToGrid w:val="0"/>
                <w:sz w:val="20"/>
                <w:szCs w:val="20"/>
              </w:rPr>
            </w:pPr>
          </w:p>
        </w:tc>
        <w:tc>
          <w:tcPr>
            <w:tcW w:w="1208" w:type="dxa"/>
          </w:tcPr>
          <w:p w14:paraId="22974D6C" w14:textId="77777777" w:rsidR="00F04C0B" w:rsidRPr="00F04C0B" w:rsidRDefault="00F04C0B" w:rsidP="00F04C0B">
            <w:pPr>
              <w:widowControl w:val="0"/>
              <w:tabs>
                <w:tab w:val="decimal" w:pos="907"/>
              </w:tabs>
              <w:autoSpaceDE w:val="0"/>
              <w:autoSpaceDN w:val="0"/>
              <w:adjustRightInd w:val="0"/>
              <w:spacing w:line="276" w:lineRule="auto"/>
              <w:jc w:val="center"/>
              <w:rPr>
                <w:snapToGrid w:val="0"/>
                <w:sz w:val="20"/>
                <w:szCs w:val="20"/>
              </w:rPr>
            </w:pPr>
          </w:p>
        </w:tc>
      </w:tr>
      <w:tr w:rsidR="00F04C0B" w:rsidRPr="00F04C0B" w14:paraId="1E2BD4F8" w14:textId="77777777" w:rsidTr="00315ABB">
        <w:trPr>
          <w:trHeight w:val="276"/>
        </w:trPr>
        <w:tc>
          <w:tcPr>
            <w:tcW w:w="4620" w:type="dxa"/>
            <w:gridSpan w:val="3"/>
          </w:tcPr>
          <w:p w14:paraId="1290D059"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Operating expenses:</w:t>
            </w:r>
          </w:p>
        </w:tc>
        <w:tc>
          <w:tcPr>
            <w:tcW w:w="478" w:type="dxa"/>
          </w:tcPr>
          <w:p w14:paraId="589590BE"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Pr>
          <w:p w14:paraId="7CDE9B84"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p>
        </w:tc>
        <w:tc>
          <w:tcPr>
            <w:tcW w:w="1208" w:type="dxa"/>
          </w:tcPr>
          <w:p w14:paraId="030116A3"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p>
        </w:tc>
        <w:tc>
          <w:tcPr>
            <w:tcW w:w="1208" w:type="dxa"/>
          </w:tcPr>
          <w:p w14:paraId="5BCE0C1B" w14:textId="77777777" w:rsidR="00F04C0B" w:rsidRPr="00F04C0B" w:rsidRDefault="00F04C0B" w:rsidP="00F04C0B">
            <w:pPr>
              <w:widowControl w:val="0"/>
              <w:tabs>
                <w:tab w:val="decimal" w:pos="860"/>
              </w:tabs>
              <w:autoSpaceDE w:val="0"/>
              <w:autoSpaceDN w:val="0"/>
              <w:adjustRightInd w:val="0"/>
              <w:spacing w:line="276" w:lineRule="auto"/>
              <w:jc w:val="center"/>
              <w:rPr>
                <w:snapToGrid w:val="0"/>
                <w:sz w:val="20"/>
                <w:szCs w:val="20"/>
              </w:rPr>
            </w:pPr>
          </w:p>
        </w:tc>
        <w:tc>
          <w:tcPr>
            <w:tcW w:w="1208" w:type="dxa"/>
          </w:tcPr>
          <w:p w14:paraId="0AB35E0D" w14:textId="77777777" w:rsidR="00F04C0B" w:rsidRPr="00F04C0B" w:rsidRDefault="00F04C0B" w:rsidP="00F04C0B">
            <w:pPr>
              <w:widowControl w:val="0"/>
              <w:tabs>
                <w:tab w:val="decimal" w:pos="907"/>
              </w:tabs>
              <w:autoSpaceDE w:val="0"/>
              <w:autoSpaceDN w:val="0"/>
              <w:adjustRightInd w:val="0"/>
              <w:spacing w:line="276" w:lineRule="auto"/>
              <w:jc w:val="center"/>
              <w:rPr>
                <w:snapToGrid w:val="0"/>
                <w:sz w:val="20"/>
                <w:szCs w:val="20"/>
              </w:rPr>
            </w:pPr>
          </w:p>
        </w:tc>
      </w:tr>
      <w:tr w:rsidR="00F04C0B" w:rsidRPr="00F04C0B" w14:paraId="29113ED9" w14:textId="77777777" w:rsidTr="00315ABB">
        <w:trPr>
          <w:trHeight w:val="276"/>
        </w:trPr>
        <w:tc>
          <w:tcPr>
            <w:tcW w:w="237" w:type="dxa"/>
          </w:tcPr>
          <w:p w14:paraId="1295E312"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383" w:type="dxa"/>
            <w:gridSpan w:val="2"/>
          </w:tcPr>
          <w:p w14:paraId="1B34ED21"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Research and development</w:t>
            </w:r>
          </w:p>
        </w:tc>
        <w:tc>
          <w:tcPr>
            <w:tcW w:w="478" w:type="dxa"/>
          </w:tcPr>
          <w:p w14:paraId="5879B852"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Pr>
          <w:p w14:paraId="50A0F782"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r w:rsidRPr="00F04C0B">
              <w:rPr>
                <w:snapToGrid w:val="0"/>
                <w:sz w:val="20"/>
                <w:szCs w:val="20"/>
              </w:rPr>
              <w:t>6,948</w:t>
            </w:r>
          </w:p>
        </w:tc>
        <w:tc>
          <w:tcPr>
            <w:tcW w:w="1208" w:type="dxa"/>
          </w:tcPr>
          <w:p w14:paraId="4A440846"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r w:rsidRPr="00F04C0B">
              <w:rPr>
                <w:snapToGrid w:val="0"/>
                <w:sz w:val="20"/>
                <w:szCs w:val="20"/>
              </w:rPr>
              <w:t>2,721</w:t>
            </w:r>
          </w:p>
        </w:tc>
        <w:tc>
          <w:tcPr>
            <w:tcW w:w="1208" w:type="dxa"/>
          </w:tcPr>
          <w:p w14:paraId="2EFE3B4D" w14:textId="77777777" w:rsidR="00F04C0B" w:rsidRPr="00F04C0B" w:rsidRDefault="00F04C0B" w:rsidP="00F04C0B">
            <w:pPr>
              <w:widowControl w:val="0"/>
              <w:tabs>
                <w:tab w:val="decimal" w:pos="860"/>
              </w:tabs>
              <w:autoSpaceDE w:val="0"/>
              <w:autoSpaceDN w:val="0"/>
              <w:adjustRightInd w:val="0"/>
              <w:spacing w:line="276" w:lineRule="auto"/>
              <w:rPr>
                <w:snapToGrid w:val="0"/>
                <w:sz w:val="20"/>
                <w:szCs w:val="20"/>
              </w:rPr>
            </w:pPr>
            <w:r w:rsidRPr="00F04C0B">
              <w:rPr>
                <w:snapToGrid w:val="0"/>
                <w:sz w:val="20"/>
                <w:szCs w:val="20"/>
              </w:rPr>
              <w:t>14,487</w:t>
            </w:r>
          </w:p>
        </w:tc>
        <w:tc>
          <w:tcPr>
            <w:tcW w:w="1208" w:type="dxa"/>
          </w:tcPr>
          <w:p w14:paraId="6A35B297" w14:textId="77777777" w:rsidR="00F04C0B" w:rsidRPr="00F04C0B" w:rsidRDefault="00F04C0B" w:rsidP="00F04C0B">
            <w:pPr>
              <w:widowControl w:val="0"/>
              <w:tabs>
                <w:tab w:val="decimal" w:pos="907"/>
              </w:tabs>
              <w:autoSpaceDE w:val="0"/>
              <w:autoSpaceDN w:val="0"/>
              <w:adjustRightInd w:val="0"/>
              <w:spacing w:line="276" w:lineRule="auto"/>
              <w:rPr>
                <w:snapToGrid w:val="0"/>
                <w:sz w:val="20"/>
                <w:szCs w:val="20"/>
              </w:rPr>
            </w:pPr>
            <w:r w:rsidRPr="00F04C0B">
              <w:rPr>
                <w:snapToGrid w:val="0"/>
                <w:sz w:val="20"/>
                <w:szCs w:val="20"/>
              </w:rPr>
              <w:t>5,359</w:t>
            </w:r>
          </w:p>
        </w:tc>
      </w:tr>
      <w:tr w:rsidR="00F04C0B" w:rsidRPr="00F04C0B" w14:paraId="45F1272E" w14:textId="77777777" w:rsidTr="00315ABB">
        <w:trPr>
          <w:trHeight w:val="276"/>
        </w:trPr>
        <w:tc>
          <w:tcPr>
            <w:tcW w:w="237" w:type="dxa"/>
          </w:tcPr>
          <w:p w14:paraId="15A4C534"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383" w:type="dxa"/>
            <w:gridSpan w:val="2"/>
          </w:tcPr>
          <w:p w14:paraId="6D2E2278"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General and administrative</w:t>
            </w:r>
          </w:p>
        </w:tc>
        <w:tc>
          <w:tcPr>
            <w:tcW w:w="478" w:type="dxa"/>
          </w:tcPr>
          <w:p w14:paraId="1DED59D8"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bottom w:val="single" w:sz="4" w:space="0" w:color="auto"/>
            </w:tcBorders>
          </w:tcPr>
          <w:p w14:paraId="359C7DE0"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r w:rsidRPr="00F04C0B">
              <w:rPr>
                <w:snapToGrid w:val="0"/>
                <w:sz w:val="20"/>
                <w:szCs w:val="20"/>
              </w:rPr>
              <w:t>1,652</w:t>
            </w:r>
          </w:p>
        </w:tc>
        <w:tc>
          <w:tcPr>
            <w:tcW w:w="1208" w:type="dxa"/>
            <w:tcBorders>
              <w:bottom w:val="single" w:sz="4" w:space="0" w:color="auto"/>
            </w:tcBorders>
          </w:tcPr>
          <w:p w14:paraId="4F95BC03"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r w:rsidRPr="00F04C0B">
              <w:rPr>
                <w:snapToGrid w:val="0"/>
                <w:sz w:val="20"/>
                <w:szCs w:val="20"/>
              </w:rPr>
              <w:t>1,249</w:t>
            </w:r>
          </w:p>
        </w:tc>
        <w:tc>
          <w:tcPr>
            <w:tcW w:w="1208" w:type="dxa"/>
          </w:tcPr>
          <w:p w14:paraId="3E5A9D6D" w14:textId="77777777" w:rsidR="00F04C0B" w:rsidRPr="00F04C0B" w:rsidRDefault="00F04C0B" w:rsidP="00F04C0B">
            <w:pPr>
              <w:widowControl w:val="0"/>
              <w:tabs>
                <w:tab w:val="decimal" w:pos="860"/>
              </w:tabs>
              <w:autoSpaceDE w:val="0"/>
              <w:autoSpaceDN w:val="0"/>
              <w:adjustRightInd w:val="0"/>
              <w:spacing w:line="276" w:lineRule="auto"/>
              <w:rPr>
                <w:snapToGrid w:val="0"/>
                <w:sz w:val="20"/>
                <w:szCs w:val="20"/>
              </w:rPr>
            </w:pPr>
            <w:r w:rsidRPr="00F04C0B">
              <w:rPr>
                <w:snapToGrid w:val="0"/>
                <w:sz w:val="20"/>
                <w:szCs w:val="20"/>
              </w:rPr>
              <w:t>4,562</w:t>
            </w:r>
          </w:p>
        </w:tc>
        <w:tc>
          <w:tcPr>
            <w:tcW w:w="1208" w:type="dxa"/>
          </w:tcPr>
          <w:p w14:paraId="35562C60" w14:textId="77777777" w:rsidR="00F04C0B" w:rsidRPr="00F04C0B" w:rsidRDefault="00F04C0B" w:rsidP="00F04C0B">
            <w:pPr>
              <w:widowControl w:val="0"/>
              <w:tabs>
                <w:tab w:val="decimal" w:pos="907"/>
              </w:tabs>
              <w:autoSpaceDE w:val="0"/>
              <w:autoSpaceDN w:val="0"/>
              <w:adjustRightInd w:val="0"/>
              <w:spacing w:line="276" w:lineRule="auto"/>
              <w:rPr>
                <w:snapToGrid w:val="0"/>
                <w:sz w:val="20"/>
                <w:szCs w:val="20"/>
              </w:rPr>
            </w:pPr>
            <w:r w:rsidRPr="00F04C0B">
              <w:rPr>
                <w:snapToGrid w:val="0"/>
                <w:sz w:val="20"/>
                <w:szCs w:val="20"/>
              </w:rPr>
              <w:t>3,364</w:t>
            </w:r>
          </w:p>
        </w:tc>
      </w:tr>
      <w:tr w:rsidR="00F04C0B" w:rsidRPr="00F04C0B" w14:paraId="173523F8" w14:textId="77777777" w:rsidTr="00315ABB">
        <w:trPr>
          <w:trHeight w:val="276"/>
        </w:trPr>
        <w:tc>
          <w:tcPr>
            <w:tcW w:w="237" w:type="dxa"/>
          </w:tcPr>
          <w:p w14:paraId="4F78F46A"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6E456524"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7745FFB9"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537060E7"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top w:val="single" w:sz="4" w:space="0" w:color="auto"/>
              <w:bottom w:val="single" w:sz="4" w:space="0" w:color="auto"/>
            </w:tcBorders>
          </w:tcPr>
          <w:p w14:paraId="19427222"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r w:rsidRPr="00F04C0B">
              <w:rPr>
                <w:snapToGrid w:val="0"/>
                <w:sz w:val="20"/>
                <w:szCs w:val="20"/>
              </w:rPr>
              <w:t>8,600</w:t>
            </w:r>
          </w:p>
        </w:tc>
        <w:tc>
          <w:tcPr>
            <w:tcW w:w="1208" w:type="dxa"/>
            <w:tcBorders>
              <w:top w:val="single" w:sz="4" w:space="0" w:color="auto"/>
              <w:bottom w:val="single" w:sz="4" w:space="0" w:color="auto"/>
            </w:tcBorders>
          </w:tcPr>
          <w:p w14:paraId="252151A1"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r w:rsidRPr="00F04C0B">
              <w:rPr>
                <w:snapToGrid w:val="0"/>
                <w:sz w:val="20"/>
                <w:szCs w:val="20"/>
              </w:rPr>
              <w:t>3,970</w:t>
            </w:r>
          </w:p>
        </w:tc>
        <w:tc>
          <w:tcPr>
            <w:tcW w:w="1208" w:type="dxa"/>
            <w:tcBorders>
              <w:top w:val="single" w:sz="6" w:space="0" w:color="auto"/>
            </w:tcBorders>
          </w:tcPr>
          <w:p w14:paraId="0A4547B6" w14:textId="77777777" w:rsidR="00F04C0B" w:rsidRPr="00F04C0B" w:rsidRDefault="00F04C0B" w:rsidP="00F04C0B">
            <w:pPr>
              <w:widowControl w:val="0"/>
              <w:tabs>
                <w:tab w:val="decimal" w:pos="860"/>
              </w:tabs>
              <w:autoSpaceDE w:val="0"/>
              <w:autoSpaceDN w:val="0"/>
              <w:adjustRightInd w:val="0"/>
              <w:spacing w:line="276" w:lineRule="auto"/>
              <w:rPr>
                <w:snapToGrid w:val="0"/>
                <w:sz w:val="20"/>
                <w:szCs w:val="20"/>
              </w:rPr>
            </w:pPr>
            <w:r w:rsidRPr="00F04C0B">
              <w:rPr>
                <w:snapToGrid w:val="0"/>
                <w:sz w:val="20"/>
                <w:szCs w:val="20"/>
              </w:rPr>
              <w:t>19,049</w:t>
            </w:r>
          </w:p>
        </w:tc>
        <w:tc>
          <w:tcPr>
            <w:tcW w:w="1208" w:type="dxa"/>
            <w:tcBorders>
              <w:top w:val="single" w:sz="6" w:space="0" w:color="auto"/>
            </w:tcBorders>
          </w:tcPr>
          <w:p w14:paraId="1EDCC9C4" w14:textId="77777777" w:rsidR="00F04C0B" w:rsidRPr="00F04C0B" w:rsidRDefault="00F04C0B" w:rsidP="00F04C0B">
            <w:pPr>
              <w:widowControl w:val="0"/>
              <w:tabs>
                <w:tab w:val="decimal" w:pos="907"/>
              </w:tabs>
              <w:autoSpaceDE w:val="0"/>
              <w:autoSpaceDN w:val="0"/>
              <w:adjustRightInd w:val="0"/>
              <w:spacing w:line="276" w:lineRule="auto"/>
              <w:rPr>
                <w:snapToGrid w:val="0"/>
                <w:sz w:val="20"/>
                <w:szCs w:val="20"/>
              </w:rPr>
            </w:pPr>
            <w:r w:rsidRPr="00F04C0B">
              <w:rPr>
                <w:snapToGrid w:val="0"/>
                <w:sz w:val="20"/>
                <w:szCs w:val="20"/>
              </w:rPr>
              <w:t>8,723</w:t>
            </w:r>
          </w:p>
        </w:tc>
      </w:tr>
      <w:tr w:rsidR="00F04C0B" w:rsidRPr="00F04C0B" w14:paraId="7891BFB6" w14:textId="77777777" w:rsidTr="00315ABB">
        <w:trPr>
          <w:trHeight w:val="276"/>
        </w:trPr>
        <w:tc>
          <w:tcPr>
            <w:tcW w:w="4620" w:type="dxa"/>
            <w:gridSpan w:val="3"/>
          </w:tcPr>
          <w:p w14:paraId="6CB1AAAC"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Loss from operations</w:t>
            </w:r>
          </w:p>
        </w:tc>
        <w:tc>
          <w:tcPr>
            <w:tcW w:w="478" w:type="dxa"/>
          </w:tcPr>
          <w:p w14:paraId="76ED708F"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top w:val="single" w:sz="4" w:space="0" w:color="auto"/>
            </w:tcBorders>
          </w:tcPr>
          <w:p w14:paraId="0E040355"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r w:rsidRPr="00F04C0B">
              <w:rPr>
                <w:snapToGrid w:val="0"/>
                <w:sz w:val="20"/>
                <w:szCs w:val="20"/>
              </w:rPr>
              <w:t>(8,600)</w:t>
            </w:r>
          </w:p>
        </w:tc>
        <w:tc>
          <w:tcPr>
            <w:tcW w:w="1208" w:type="dxa"/>
            <w:tcBorders>
              <w:top w:val="single" w:sz="4" w:space="0" w:color="auto"/>
            </w:tcBorders>
          </w:tcPr>
          <w:p w14:paraId="4B007E37"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r w:rsidRPr="00F04C0B">
              <w:rPr>
                <w:snapToGrid w:val="0"/>
                <w:sz w:val="20"/>
                <w:szCs w:val="20"/>
              </w:rPr>
              <w:t>(3,970)</w:t>
            </w:r>
          </w:p>
        </w:tc>
        <w:tc>
          <w:tcPr>
            <w:tcW w:w="1208" w:type="dxa"/>
            <w:tcBorders>
              <w:top w:val="single" w:sz="6" w:space="0" w:color="auto"/>
            </w:tcBorders>
          </w:tcPr>
          <w:p w14:paraId="6CF6CF81" w14:textId="77777777" w:rsidR="00F04C0B" w:rsidRPr="00F04C0B" w:rsidRDefault="00F04C0B" w:rsidP="00F04C0B">
            <w:pPr>
              <w:widowControl w:val="0"/>
              <w:tabs>
                <w:tab w:val="decimal" w:pos="860"/>
              </w:tabs>
              <w:autoSpaceDE w:val="0"/>
              <w:autoSpaceDN w:val="0"/>
              <w:adjustRightInd w:val="0"/>
              <w:spacing w:line="276" w:lineRule="auto"/>
              <w:rPr>
                <w:snapToGrid w:val="0"/>
                <w:sz w:val="20"/>
                <w:szCs w:val="20"/>
              </w:rPr>
            </w:pPr>
            <w:r w:rsidRPr="00F04C0B">
              <w:rPr>
                <w:snapToGrid w:val="0"/>
                <w:sz w:val="20"/>
                <w:szCs w:val="20"/>
              </w:rPr>
              <w:t>(19,049)</w:t>
            </w:r>
          </w:p>
        </w:tc>
        <w:tc>
          <w:tcPr>
            <w:tcW w:w="1208" w:type="dxa"/>
            <w:tcBorders>
              <w:top w:val="single" w:sz="6" w:space="0" w:color="auto"/>
            </w:tcBorders>
          </w:tcPr>
          <w:p w14:paraId="53838BA9" w14:textId="77777777" w:rsidR="00F04C0B" w:rsidRPr="00F04C0B" w:rsidRDefault="00F04C0B" w:rsidP="00F04C0B">
            <w:pPr>
              <w:widowControl w:val="0"/>
              <w:tabs>
                <w:tab w:val="decimal" w:pos="907"/>
              </w:tabs>
              <w:autoSpaceDE w:val="0"/>
              <w:autoSpaceDN w:val="0"/>
              <w:adjustRightInd w:val="0"/>
              <w:spacing w:line="276" w:lineRule="auto"/>
              <w:rPr>
                <w:snapToGrid w:val="0"/>
                <w:sz w:val="20"/>
                <w:szCs w:val="20"/>
              </w:rPr>
            </w:pPr>
            <w:r w:rsidRPr="00F04C0B">
              <w:rPr>
                <w:snapToGrid w:val="0"/>
                <w:sz w:val="20"/>
                <w:szCs w:val="20"/>
              </w:rPr>
              <w:t>(8,641)</w:t>
            </w:r>
          </w:p>
        </w:tc>
      </w:tr>
      <w:tr w:rsidR="00F04C0B" w:rsidRPr="00F04C0B" w14:paraId="38C1F826" w14:textId="77777777" w:rsidTr="00315ABB">
        <w:trPr>
          <w:trHeight w:val="276"/>
        </w:trPr>
        <w:tc>
          <w:tcPr>
            <w:tcW w:w="4650" w:type="dxa"/>
            <w:gridSpan w:val="3"/>
          </w:tcPr>
          <w:p w14:paraId="0A74A9D9"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Interest income</w:t>
            </w:r>
          </w:p>
        </w:tc>
        <w:tc>
          <w:tcPr>
            <w:tcW w:w="448" w:type="dxa"/>
          </w:tcPr>
          <w:p w14:paraId="38A49FB5" w14:textId="77777777" w:rsidR="00F04C0B" w:rsidRPr="00F04C0B" w:rsidRDefault="00F04C0B" w:rsidP="00F04C0B">
            <w:pPr>
              <w:widowControl w:val="0"/>
              <w:autoSpaceDE w:val="0"/>
              <w:autoSpaceDN w:val="0"/>
              <w:adjustRightInd w:val="0"/>
              <w:spacing w:line="276" w:lineRule="auto"/>
              <w:rPr>
                <w:snapToGrid w:val="0"/>
                <w:sz w:val="20"/>
                <w:szCs w:val="20"/>
              </w:rPr>
            </w:pPr>
          </w:p>
        </w:tc>
        <w:tc>
          <w:tcPr>
            <w:tcW w:w="1208" w:type="dxa"/>
          </w:tcPr>
          <w:p w14:paraId="1E8FAD3C"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r w:rsidRPr="00F04C0B">
              <w:rPr>
                <w:snapToGrid w:val="0"/>
                <w:sz w:val="20"/>
                <w:szCs w:val="20"/>
              </w:rPr>
              <w:t>191</w:t>
            </w:r>
          </w:p>
        </w:tc>
        <w:tc>
          <w:tcPr>
            <w:tcW w:w="1208" w:type="dxa"/>
          </w:tcPr>
          <w:p w14:paraId="08F59F68"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r w:rsidRPr="00F04C0B">
              <w:rPr>
                <w:snapToGrid w:val="0"/>
                <w:sz w:val="20"/>
                <w:szCs w:val="20"/>
              </w:rPr>
              <w:t>2</w:t>
            </w:r>
          </w:p>
        </w:tc>
        <w:tc>
          <w:tcPr>
            <w:tcW w:w="1208" w:type="dxa"/>
          </w:tcPr>
          <w:p w14:paraId="51F10CA2" w14:textId="77777777" w:rsidR="00F04C0B" w:rsidRPr="00F04C0B" w:rsidRDefault="00F04C0B" w:rsidP="00F04C0B">
            <w:pPr>
              <w:widowControl w:val="0"/>
              <w:tabs>
                <w:tab w:val="decimal" w:pos="860"/>
              </w:tabs>
              <w:autoSpaceDE w:val="0"/>
              <w:autoSpaceDN w:val="0"/>
              <w:adjustRightInd w:val="0"/>
              <w:spacing w:line="276" w:lineRule="auto"/>
              <w:rPr>
                <w:snapToGrid w:val="0"/>
                <w:sz w:val="20"/>
                <w:szCs w:val="20"/>
              </w:rPr>
            </w:pPr>
            <w:r w:rsidRPr="00F04C0B">
              <w:rPr>
                <w:snapToGrid w:val="0"/>
                <w:sz w:val="20"/>
                <w:szCs w:val="20"/>
              </w:rPr>
              <w:t>675</w:t>
            </w:r>
          </w:p>
        </w:tc>
        <w:tc>
          <w:tcPr>
            <w:tcW w:w="1208" w:type="dxa"/>
          </w:tcPr>
          <w:p w14:paraId="277E7101" w14:textId="77777777" w:rsidR="00F04C0B" w:rsidRPr="00F04C0B" w:rsidRDefault="00F04C0B" w:rsidP="00F04C0B">
            <w:pPr>
              <w:widowControl w:val="0"/>
              <w:tabs>
                <w:tab w:val="decimal" w:pos="907"/>
              </w:tabs>
              <w:autoSpaceDE w:val="0"/>
              <w:autoSpaceDN w:val="0"/>
              <w:adjustRightInd w:val="0"/>
              <w:spacing w:line="276" w:lineRule="auto"/>
              <w:rPr>
                <w:snapToGrid w:val="0"/>
                <w:sz w:val="20"/>
                <w:szCs w:val="20"/>
              </w:rPr>
            </w:pPr>
            <w:r w:rsidRPr="00F04C0B">
              <w:rPr>
                <w:snapToGrid w:val="0"/>
                <w:sz w:val="20"/>
                <w:szCs w:val="20"/>
              </w:rPr>
              <w:t>4</w:t>
            </w:r>
          </w:p>
        </w:tc>
      </w:tr>
      <w:tr w:rsidR="00F04C0B" w:rsidRPr="00F04C0B" w14:paraId="15148F63" w14:textId="77777777" w:rsidTr="00315ABB">
        <w:trPr>
          <w:trHeight w:val="276"/>
        </w:trPr>
        <w:tc>
          <w:tcPr>
            <w:tcW w:w="237" w:type="dxa"/>
          </w:tcPr>
          <w:p w14:paraId="045999E8"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7C72136C"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3F6014A4"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64049B89"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top w:val="single" w:sz="4" w:space="0" w:color="auto"/>
            </w:tcBorders>
          </w:tcPr>
          <w:p w14:paraId="1FCFCD4F" w14:textId="77777777" w:rsidR="00F04C0B" w:rsidRPr="00F04C0B" w:rsidRDefault="00F04C0B" w:rsidP="00F04C0B">
            <w:pPr>
              <w:widowControl w:val="0"/>
              <w:tabs>
                <w:tab w:val="decimal" w:pos="960"/>
              </w:tabs>
              <w:autoSpaceDE w:val="0"/>
              <w:autoSpaceDN w:val="0"/>
              <w:adjustRightInd w:val="0"/>
              <w:spacing w:line="276" w:lineRule="auto"/>
              <w:rPr>
                <w:snapToGrid w:val="0"/>
                <w:sz w:val="20"/>
                <w:szCs w:val="20"/>
              </w:rPr>
            </w:pPr>
          </w:p>
        </w:tc>
        <w:tc>
          <w:tcPr>
            <w:tcW w:w="1208" w:type="dxa"/>
            <w:tcBorders>
              <w:top w:val="single" w:sz="4" w:space="0" w:color="auto"/>
            </w:tcBorders>
          </w:tcPr>
          <w:p w14:paraId="020410D1" w14:textId="77777777" w:rsidR="00F04C0B" w:rsidRPr="00F04C0B" w:rsidRDefault="00F04C0B" w:rsidP="00F04C0B">
            <w:pPr>
              <w:widowControl w:val="0"/>
              <w:tabs>
                <w:tab w:val="decimal" w:pos="910"/>
              </w:tabs>
              <w:autoSpaceDE w:val="0"/>
              <w:autoSpaceDN w:val="0"/>
              <w:adjustRightInd w:val="0"/>
              <w:spacing w:line="276" w:lineRule="auto"/>
              <w:rPr>
                <w:snapToGrid w:val="0"/>
                <w:sz w:val="20"/>
                <w:szCs w:val="20"/>
              </w:rPr>
            </w:pPr>
          </w:p>
        </w:tc>
        <w:tc>
          <w:tcPr>
            <w:tcW w:w="1208" w:type="dxa"/>
            <w:tcBorders>
              <w:top w:val="single" w:sz="6" w:space="0" w:color="auto"/>
            </w:tcBorders>
          </w:tcPr>
          <w:p w14:paraId="7105CF7B" w14:textId="77777777" w:rsidR="00F04C0B" w:rsidRPr="00F04C0B" w:rsidRDefault="00F04C0B" w:rsidP="00F04C0B">
            <w:pPr>
              <w:widowControl w:val="0"/>
              <w:tabs>
                <w:tab w:val="decimal" w:pos="860"/>
              </w:tabs>
              <w:autoSpaceDE w:val="0"/>
              <w:autoSpaceDN w:val="0"/>
              <w:adjustRightInd w:val="0"/>
              <w:spacing w:line="276" w:lineRule="auto"/>
              <w:jc w:val="center"/>
              <w:rPr>
                <w:snapToGrid w:val="0"/>
                <w:sz w:val="20"/>
                <w:szCs w:val="20"/>
              </w:rPr>
            </w:pPr>
          </w:p>
        </w:tc>
        <w:tc>
          <w:tcPr>
            <w:tcW w:w="1208" w:type="dxa"/>
            <w:tcBorders>
              <w:top w:val="single" w:sz="6" w:space="0" w:color="auto"/>
            </w:tcBorders>
          </w:tcPr>
          <w:p w14:paraId="06F58C50" w14:textId="77777777" w:rsidR="00F04C0B" w:rsidRPr="00F04C0B" w:rsidRDefault="00F04C0B" w:rsidP="00F04C0B">
            <w:pPr>
              <w:widowControl w:val="0"/>
              <w:tabs>
                <w:tab w:val="decimal" w:pos="907"/>
              </w:tabs>
              <w:autoSpaceDE w:val="0"/>
              <w:autoSpaceDN w:val="0"/>
              <w:adjustRightInd w:val="0"/>
              <w:spacing w:line="276" w:lineRule="auto"/>
              <w:jc w:val="center"/>
              <w:rPr>
                <w:snapToGrid w:val="0"/>
                <w:sz w:val="20"/>
                <w:szCs w:val="20"/>
              </w:rPr>
            </w:pPr>
          </w:p>
        </w:tc>
      </w:tr>
      <w:tr w:rsidR="00F04C0B" w:rsidRPr="00F04C0B" w14:paraId="75EA9635" w14:textId="77777777" w:rsidTr="00315ABB">
        <w:trPr>
          <w:cantSplit/>
          <w:trHeight w:val="293"/>
        </w:trPr>
        <w:tc>
          <w:tcPr>
            <w:tcW w:w="4620" w:type="dxa"/>
            <w:gridSpan w:val="3"/>
          </w:tcPr>
          <w:p w14:paraId="50CD96E4"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Net loss</w:t>
            </w:r>
          </w:p>
        </w:tc>
        <w:tc>
          <w:tcPr>
            <w:tcW w:w="478" w:type="dxa"/>
          </w:tcPr>
          <w:p w14:paraId="7A227F11"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bottom w:val="double" w:sz="4" w:space="0" w:color="auto"/>
            </w:tcBorders>
          </w:tcPr>
          <w:p w14:paraId="1871B201" w14:textId="77777777" w:rsidR="00F04C0B" w:rsidRPr="00F04C0B" w:rsidRDefault="00F04C0B" w:rsidP="00F04C0B">
            <w:pPr>
              <w:widowControl w:val="0"/>
              <w:tabs>
                <w:tab w:val="left" w:pos="150"/>
                <w:tab w:val="decimal" w:pos="96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(8,409)</w:t>
            </w:r>
          </w:p>
        </w:tc>
        <w:tc>
          <w:tcPr>
            <w:tcW w:w="1208" w:type="dxa"/>
            <w:tcBorders>
              <w:bottom w:val="double" w:sz="4" w:space="0" w:color="auto"/>
            </w:tcBorders>
          </w:tcPr>
          <w:p w14:paraId="5CC68988" w14:textId="77777777" w:rsidR="00F04C0B" w:rsidRPr="00F04C0B" w:rsidRDefault="00F04C0B" w:rsidP="00F04C0B">
            <w:pPr>
              <w:widowControl w:val="0"/>
              <w:tabs>
                <w:tab w:val="left" w:pos="100"/>
                <w:tab w:val="decimal" w:pos="91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(3,968)</w:t>
            </w:r>
          </w:p>
        </w:tc>
        <w:tc>
          <w:tcPr>
            <w:tcW w:w="1208" w:type="dxa"/>
            <w:tcBorders>
              <w:bottom w:val="double" w:sz="6" w:space="0" w:color="auto"/>
            </w:tcBorders>
          </w:tcPr>
          <w:p w14:paraId="479716F3" w14:textId="77777777" w:rsidR="00F04C0B" w:rsidRPr="00F04C0B" w:rsidRDefault="00F04C0B" w:rsidP="00F04C0B">
            <w:pPr>
              <w:widowControl w:val="0"/>
              <w:tabs>
                <w:tab w:val="left" w:pos="50"/>
                <w:tab w:val="decimal" w:pos="86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(18,374)</w:t>
            </w:r>
          </w:p>
        </w:tc>
        <w:tc>
          <w:tcPr>
            <w:tcW w:w="1208" w:type="dxa"/>
            <w:tcBorders>
              <w:bottom w:val="double" w:sz="6" w:space="0" w:color="auto"/>
            </w:tcBorders>
          </w:tcPr>
          <w:p w14:paraId="0A583B60" w14:textId="77777777" w:rsidR="00F04C0B" w:rsidRPr="00F04C0B" w:rsidRDefault="00F04C0B" w:rsidP="00F04C0B">
            <w:pPr>
              <w:widowControl w:val="0"/>
              <w:tabs>
                <w:tab w:val="left" w:pos="97"/>
                <w:tab w:val="decimal" w:pos="907"/>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(8,637)</w:t>
            </w:r>
          </w:p>
        </w:tc>
      </w:tr>
      <w:tr w:rsidR="00F04C0B" w:rsidRPr="00F04C0B" w14:paraId="18710541" w14:textId="77777777" w:rsidTr="00315ABB">
        <w:trPr>
          <w:trHeight w:val="293"/>
        </w:trPr>
        <w:tc>
          <w:tcPr>
            <w:tcW w:w="237" w:type="dxa"/>
          </w:tcPr>
          <w:p w14:paraId="43916245"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462" w:type="dxa"/>
          </w:tcPr>
          <w:p w14:paraId="3B73C403"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2921" w:type="dxa"/>
          </w:tcPr>
          <w:p w14:paraId="633383D9"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478" w:type="dxa"/>
          </w:tcPr>
          <w:p w14:paraId="4A561717"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Pr>
          <w:p w14:paraId="63C09F7A" w14:textId="77777777" w:rsidR="00F04C0B" w:rsidRPr="00F04C0B" w:rsidRDefault="00F04C0B" w:rsidP="00F04C0B">
            <w:pPr>
              <w:widowControl w:val="0"/>
              <w:autoSpaceDE w:val="0"/>
              <w:autoSpaceDN w:val="0"/>
              <w:adjustRightInd w:val="0"/>
              <w:spacing w:line="276" w:lineRule="auto"/>
              <w:jc w:val="center"/>
              <w:rPr>
                <w:snapToGrid w:val="0"/>
                <w:sz w:val="20"/>
                <w:szCs w:val="20"/>
              </w:rPr>
            </w:pPr>
          </w:p>
        </w:tc>
        <w:tc>
          <w:tcPr>
            <w:tcW w:w="1208" w:type="dxa"/>
          </w:tcPr>
          <w:p w14:paraId="6FB2E827" w14:textId="77777777" w:rsidR="00F04C0B" w:rsidRPr="00F04C0B" w:rsidRDefault="00F04C0B" w:rsidP="00F04C0B">
            <w:pPr>
              <w:widowControl w:val="0"/>
              <w:autoSpaceDE w:val="0"/>
              <w:autoSpaceDN w:val="0"/>
              <w:adjustRightInd w:val="0"/>
              <w:spacing w:line="276" w:lineRule="auto"/>
              <w:jc w:val="center"/>
              <w:rPr>
                <w:snapToGrid w:val="0"/>
                <w:sz w:val="20"/>
                <w:szCs w:val="20"/>
              </w:rPr>
            </w:pPr>
          </w:p>
        </w:tc>
        <w:tc>
          <w:tcPr>
            <w:tcW w:w="1208" w:type="dxa"/>
          </w:tcPr>
          <w:p w14:paraId="3D812265" w14:textId="77777777" w:rsidR="00F04C0B" w:rsidRPr="00F04C0B" w:rsidRDefault="00F04C0B" w:rsidP="00F04C0B">
            <w:pPr>
              <w:widowControl w:val="0"/>
              <w:autoSpaceDE w:val="0"/>
              <w:autoSpaceDN w:val="0"/>
              <w:adjustRightInd w:val="0"/>
              <w:spacing w:line="276" w:lineRule="auto"/>
              <w:jc w:val="center"/>
              <w:rPr>
                <w:snapToGrid w:val="0"/>
                <w:sz w:val="20"/>
                <w:szCs w:val="20"/>
              </w:rPr>
            </w:pPr>
          </w:p>
        </w:tc>
        <w:tc>
          <w:tcPr>
            <w:tcW w:w="1208" w:type="dxa"/>
          </w:tcPr>
          <w:p w14:paraId="1E114AD8" w14:textId="77777777" w:rsidR="00F04C0B" w:rsidRPr="00F04C0B" w:rsidRDefault="00F04C0B" w:rsidP="00F04C0B">
            <w:pPr>
              <w:widowControl w:val="0"/>
              <w:autoSpaceDE w:val="0"/>
              <w:autoSpaceDN w:val="0"/>
              <w:adjustRightInd w:val="0"/>
              <w:spacing w:line="276" w:lineRule="auto"/>
              <w:jc w:val="center"/>
              <w:rPr>
                <w:snapToGrid w:val="0"/>
                <w:sz w:val="20"/>
                <w:szCs w:val="20"/>
              </w:rPr>
            </w:pPr>
          </w:p>
        </w:tc>
      </w:tr>
      <w:tr w:rsidR="00F04C0B" w:rsidRPr="00F04C0B" w14:paraId="092DBB47" w14:textId="77777777" w:rsidTr="00315ABB">
        <w:trPr>
          <w:trHeight w:val="276"/>
        </w:trPr>
        <w:tc>
          <w:tcPr>
            <w:tcW w:w="4620" w:type="dxa"/>
            <w:gridSpan w:val="3"/>
          </w:tcPr>
          <w:p w14:paraId="42E35EB6" w14:textId="77777777" w:rsidR="00F04C0B" w:rsidRPr="00F04C0B" w:rsidRDefault="00F04C0B" w:rsidP="00F04C0B">
            <w:pPr>
              <w:widowControl w:val="0"/>
              <w:autoSpaceDE w:val="0"/>
              <w:autoSpaceDN w:val="0"/>
              <w:adjustRightInd w:val="0"/>
              <w:spacing w:line="276" w:lineRule="auto"/>
              <w:rPr>
                <w:snapToGrid w:val="0"/>
                <w:sz w:val="20"/>
                <w:szCs w:val="20"/>
              </w:rPr>
            </w:pPr>
            <w:r w:rsidRPr="00F04C0B">
              <w:rPr>
                <w:snapToGrid w:val="0"/>
                <w:sz w:val="20"/>
                <w:szCs w:val="20"/>
              </w:rPr>
              <w:t>Loss per common share</w:t>
            </w:r>
          </w:p>
        </w:tc>
        <w:tc>
          <w:tcPr>
            <w:tcW w:w="478" w:type="dxa"/>
          </w:tcPr>
          <w:p w14:paraId="27B54CA0" w14:textId="77777777" w:rsidR="00F04C0B" w:rsidRPr="00F04C0B" w:rsidRDefault="00F04C0B" w:rsidP="00F04C0B">
            <w:pPr>
              <w:widowControl w:val="0"/>
              <w:autoSpaceDE w:val="0"/>
              <w:autoSpaceDN w:val="0"/>
              <w:adjustRightInd w:val="0"/>
              <w:spacing w:line="276" w:lineRule="auto"/>
              <w:jc w:val="right"/>
              <w:rPr>
                <w:snapToGrid w:val="0"/>
                <w:sz w:val="20"/>
                <w:szCs w:val="20"/>
              </w:rPr>
            </w:pPr>
          </w:p>
        </w:tc>
        <w:tc>
          <w:tcPr>
            <w:tcW w:w="1208" w:type="dxa"/>
            <w:tcBorders>
              <w:bottom w:val="double" w:sz="4" w:space="0" w:color="auto"/>
            </w:tcBorders>
          </w:tcPr>
          <w:p w14:paraId="71496E2A" w14:textId="77777777" w:rsidR="00F04C0B" w:rsidRPr="00F04C0B" w:rsidRDefault="00F04C0B" w:rsidP="00F04C0B">
            <w:pPr>
              <w:widowControl w:val="0"/>
              <w:tabs>
                <w:tab w:val="left" w:pos="150"/>
                <w:tab w:val="decimal" w:pos="69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(0.32)</w:t>
            </w:r>
          </w:p>
        </w:tc>
        <w:tc>
          <w:tcPr>
            <w:tcW w:w="1208" w:type="dxa"/>
            <w:tcBorders>
              <w:bottom w:val="double" w:sz="4" w:space="0" w:color="auto"/>
            </w:tcBorders>
          </w:tcPr>
          <w:p w14:paraId="29142B82" w14:textId="77777777" w:rsidR="00F04C0B" w:rsidRPr="00F04C0B" w:rsidRDefault="00F04C0B" w:rsidP="00F04C0B">
            <w:pPr>
              <w:widowControl w:val="0"/>
              <w:tabs>
                <w:tab w:val="left" w:pos="100"/>
                <w:tab w:val="decimal" w:pos="64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(0.17)</w:t>
            </w:r>
          </w:p>
        </w:tc>
        <w:tc>
          <w:tcPr>
            <w:tcW w:w="1208" w:type="dxa"/>
            <w:tcBorders>
              <w:bottom w:val="double" w:sz="4" w:space="0" w:color="auto"/>
            </w:tcBorders>
          </w:tcPr>
          <w:p w14:paraId="05D5E396" w14:textId="77777777" w:rsidR="00F04C0B" w:rsidRPr="00F04C0B" w:rsidRDefault="00F04C0B" w:rsidP="00F04C0B">
            <w:pPr>
              <w:widowControl w:val="0"/>
              <w:tabs>
                <w:tab w:val="left" w:pos="140"/>
                <w:tab w:val="decimal" w:pos="590"/>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(0.69)</w:t>
            </w:r>
          </w:p>
        </w:tc>
        <w:tc>
          <w:tcPr>
            <w:tcW w:w="1208" w:type="dxa"/>
            <w:tcBorders>
              <w:bottom w:val="double" w:sz="4" w:space="0" w:color="auto"/>
            </w:tcBorders>
          </w:tcPr>
          <w:p w14:paraId="79889E4C" w14:textId="77777777" w:rsidR="00F04C0B" w:rsidRPr="00F04C0B" w:rsidRDefault="00F04C0B" w:rsidP="00F04C0B">
            <w:pPr>
              <w:widowControl w:val="0"/>
              <w:tabs>
                <w:tab w:val="left" w:pos="97"/>
                <w:tab w:val="decimal" w:pos="637"/>
              </w:tabs>
              <w:autoSpaceDE w:val="0"/>
              <w:autoSpaceDN w:val="0"/>
              <w:adjustRightInd w:val="0"/>
              <w:spacing w:line="276" w:lineRule="auto"/>
              <w:rPr>
                <w:snapToGrid w:val="0"/>
                <w:sz w:val="20"/>
                <w:szCs w:val="20"/>
              </w:rPr>
            </w:pPr>
            <w:r w:rsidRPr="00F04C0B">
              <w:rPr>
                <w:snapToGrid w:val="0"/>
                <w:sz w:val="20"/>
                <w:szCs w:val="20"/>
              </w:rPr>
              <w:tab/>
              <w:t>$</w:t>
            </w:r>
            <w:r w:rsidRPr="00F04C0B">
              <w:rPr>
                <w:snapToGrid w:val="0"/>
                <w:sz w:val="20"/>
                <w:szCs w:val="20"/>
              </w:rPr>
              <w:tab/>
              <w:t>(0.63)</w:t>
            </w:r>
          </w:p>
        </w:tc>
      </w:tr>
    </w:tbl>
    <w:p w14:paraId="3A765B66" w14:textId="77777777" w:rsidR="00F04C0B" w:rsidRPr="00F04C0B" w:rsidRDefault="00F04C0B" w:rsidP="00F04C0B">
      <w:pPr>
        <w:widowControl w:val="0"/>
        <w:autoSpaceDE w:val="0"/>
        <w:autoSpaceDN w:val="0"/>
        <w:adjustRightInd w:val="0"/>
        <w:jc w:val="both"/>
        <w:rPr>
          <w:sz w:val="20"/>
          <w:szCs w:val="20"/>
        </w:rPr>
      </w:pPr>
    </w:p>
    <w:p w14:paraId="699D3244" w14:textId="77777777" w:rsidR="00F04C0B" w:rsidRPr="00F04C0B" w:rsidRDefault="00F04C0B" w:rsidP="00F04C0B">
      <w:pPr>
        <w:widowControl w:val="0"/>
        <w:autoSpaceDE w:val="0"/>
        <w:autoSpaceDN w:val="0"/>
        <w:adjustRightInd w:val="0"/>
        <w:jc w:val="both"/>
        <w:rPr>
          <w:sz w:val="20"/>
          <w:szCs w:val="20"/>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F04C0B" w:rsidRPr="00F04C0B" w14:paraId="61016280" w14:textId="77777777" w:rsidTr="00315ABB">
        <w:trPr>
          <w:cantSplit/>
          <w:trHeight w:val="293"/>
        </w:trPr>
        <w:tc>
          <w:tcPr>
            <w:tcW w:w="9930" w:type="dxa"/>
            <w:gridSpan w:val="8"/>
          </w:tcPr>
          <w:p w14:paraId="4E9E4F37" w14:textId="77777777" w:rsidR="00F04C0B" w:rsidRPr="00F04C0B" w:rsidRDefault="00F04C0B" w:rsidP="00F04C0B">
            <w:pPr>
              <w:widowControl w:val="0"/>
              <w:autoSpaceDE w:val="0"/>
              <w:autoSpaceDN w:val="0"/>
              <w:adjustRightInd w:val="0"/>
              <w:jc w:val="center"/>
              <w:rPr>
                <w:b/>
                <w:bCs/>
                <w:snapToGrid w:val="0"/>
                <w:sz w:val="20"/>
                <w:szCs w:val="20"/>
              </w:rPr>
            </w:pPr>
          </w:p>
          <w:p w14:paraId="2A51DC21" w14:textId="77777777" w:rsidR="00F04C0B" w:rsidRPr="00F04C0B" w:rsidRDefault="00F04C0B" w:rsidP="00F04C0B">
            <w:pPr>
              <w:widowControl w:val="0"/>
              <w:autoSpaceDE w:val="0"/>
              <w:autoSpaceDN w:val="0"/>
              <w:adjustRightInd w:val="0"/>
              <w:jc w:val="center"/>
              <w:rPr>
                <w:b/>
                <w:bCs/>
                <w:snapToGrid w:val="0"/>
                <w:sz w:val="20"/>
                <w:szCs w:val="20"/>
              </w:rPr>
            </w:pPr>
          </w:p>
          <w:p w14:paraId="2176AE17" w14:textId="77777777" w:rsidR="00F04C0B" w:rsidRPr="00F04C0B" w:rsidRDefault="00F04C0B" w:rsidP="00F04C0B">
            <w:pPr>
              <w:widowControl w:val="0"/>
              <w:autoSpaceDE w:val="0"/>
              <w:autoSpaceDN w:val="0"/>
              <w:adjustRightInd w:val="0"/>
              <w:jc w:val="center"/>
              <w:rPr>
                <w:snapToGrid w:val="0"/>
                <w:sz w:val="20"/>
                <w:szCs w:val="20"/>
              </w:rPr>
            </w:pPr>
            <w:r w:rsidRPr="00F04C0B">
              <w:rPr>
                <w:b/>
                <w:bCs/>
                <w:snapToGrid w:val="0"/>
                <w:sz w:val="20"/>
                <w:szCs w:val="20"/>
              </w:rPr>
              <w:t>Condensed Consolidated Balance Sheet Information</w:t>
            </w:r>
          </w:p>
        </w:tc>
      </w:tr>
      <w:tr w:rsidR="00F04C0B" w:rsidRPr="00F04C0B" w14:paraId="0417B863" w14:textId="77777777" w:rsidTr="00315ABB">
        <w:trPr>
          <w:cantSplit/>
          <w:trHeight w:val="293"/>
        </w:trPr>
        <w:tc>
          <w:tcPr>
            <w:tcW w:w="9930" w:type="dxa"/>
            <w:gridSpan w:val="8"/>
          </w:tcPr>
          <w:p w14:paraId="0D2CA08B" w14:textId="77777777" w:rsidR="00F04C0B" w:rsidRPr="00F04C0B" w:rsidRDefault="00F04C0B" w:rsidP="00F04C0B">
            <w:pPr>
              <w:widowControl w:val="0"/>
              <w:autoSpaceDE w:val="0"/>
              <w:autoSpaceDN w:val="0"/>
              <w:adjustRightInd w:val="0"/>
              <w:jc w:val="center"/>
              <w:rPr>
                <w:i/>
                <w:snapToGrid w:val="0"/>
                <w:sz w:val="20"/>
                <w:szCs w:val="20"/>
              </w:rPr>
            </w:pPr>
            <w:r w:rsidRPr="00F04C0B">
              <w:rPr>
                <w:bCs/>
                <w:i/>
                <w:snapToGrid w:val="0"/>
                <w:sz w:val="20"/>
                <w:szCs w:val="20"/>
              </w:rPr>
              <w:t>(amounts in thousands, except common share information)</w:t>
            </w:r>
          </w:p>
        </w:tc>
      </w:tr>
      <w:tr w:rsidR="00F04C0B" w:rsidRPr="00F04C0B" w14:paraId="492E86AE" w14:textId="77777777" w:rsidTr="00315ABB">
        <w:trPr>
          <w:trHeight w:val="276"/>
        </w:trPr>
        <w:tc>
          <w:tcPr>
            <w:tcW w:w="1699" w:type="dxa"/>
            <w:gridSpan w:val="2"/>
          </w:tcPr>
          <w:p w14:paraId="1D0950CF" w14:textId="77777777" w:rsidR="00F04C0B" w:rsidRPr="00F04C0B" w:rsidRDefault="00F04C0B" w:rsidP="00F04C0B">
            <w:pPr>
              <w:widowControl w:val="0"/>
              <w:autoSpaceDE w:val="0"/>
              <w:autoSpaceDN w:val="0"/>
              <w:adjustRightInd w:val="0"/>
              <w:rPr>
                <w:snapToGrid w:val="0"/>
                <w:sz w:val="20"/>
                <w:szCs w:val="20"/>
              </w:rPr>
            </w:pPr>
          </w:p>
        </w:tc>
        <w:tc>
          <w:tcPr>
            <w:tcW w:w="2921" w:type="dxa"/>
          </w:tcPr>
          <w:p w14:paraId="096DDA70" w14:textId="77777777" w:rsidR="00F04C0B" w:rsidRPr="00F04C0B" w:rsidRDefault="00F04C0B" w:rsidP="00F04C0B">
            <w:pPr>
              <w:widowControl w:val="0"/>
              <w:autoSpaceDE w:val="0"/>
              <w:autoSpaceDN w:val="0"/>
              <w:adjustRightInd w:val="0"/>
              <w:jc w:val="right"/>
              <w:rPr>
                <w:snapToGrid w:val="0"/>
                <w:sz w:val="20"/>
                <w:szCs w:val="20"/>
              </w:rPr>
            </w:pPr>
          </w:p>
        </w:tc>
        <w:tc>
          <w:tcPr>
            <w:tcW w:w="478" w:type="dxa"/>
          </w:tcPr>
          <w:p w14:paraId="5661A7DE"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7B71DDCA"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5A568F09"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bottom w:val="single" w:sz="4" w:space="0" w:color="auto"/>
            </w:tcBorders>
          </w:tcPr>
          <w:p w14:paraId="45BA2177" w14:textId="77777777" w:rsidR="00F04C0B" w:rsidRPr="00F04C0B" w:rsidRDefault="00F04C0B" w:rsidP="00F04C0B">
            <w:pPr>
              <w:widowControl w:val="0"/>
              <w:autoSpaceDE w:val="0"/>
              <w:autoSpaceDN w:val="0"/>
              <w:adjustRightInd w:val="0"/>
              <w:jc w:val="center"/>
              <w:rPr>
                <w:snapToGrid w:val="0"/>
                <w:sz w:val="20"/>
                <w:szCs w:val="20"/>
              </w:rPr>
            </w:pPr>
            <w:r w:rsidRPr="00F04C0B">
              <w:rPr>
                <w:snapToGrid w:val="0"/>
                <w:sz w:val="20"/>
                <w:szCs w:val="20"/>
              </w:rPr>
              <w:t>Sep. 30,</w:t>
            </w:r>
          </w:p>
          <w:p w14:paraId="10A299DD" w14:textId="77777777" w:rsidR="00F04C0B" w:rsidRPr="00F04C0B" w:rsidRDefault="00F04C0B" w:rsidP="00F04C0B">
            <w:pPr>
              <w:widowControl w:val="0"/>
              <w:autoSpaceDE w:val="0"/>
              <w:autoSpaceDN w:val="0"/>
              <w:adjustRightInd w:val="0"/>
              <w:jc w:val="center"/>
              <w:rPr>
                <w:snapToGrid w:val="0"/>
                <w:sz w:val="20"/>
                <w:szCs w:val="20"/>
              </w:rPr>
            </w:pPr>
            <w:r w:rsidRPr="00F04C0B">
              <w:rPr>
                <w:snapToGrid w:val="0"/>
                <w:sz w:val="20"/>
                <w:szCs w:val="20"/>
              </w:rPr>
              <w:t>2023</w:t>
            </w:r>
          </w:p>
        </w:tc>
        <w:tc>
          <w:tcPr>
            <w:tcW w:w="1208" w:type="dxa"/>
            <w:tcBorders>
              <w:bottom w:val="single" w:sz="4" w:space="0" w:color="auto"/>
            </w:tcBorders>
          </w:tcPr>
          <w:p w14:paraId="48F57FA3" w14:textId="77777777" w:rsidR="00F04C0B" w:rsidRPr="00F04C0B" w:rsidRDefault="00F04C0B" w:rsidP="00F04C0B">
            <w:pPr>
              <w:widowControl w:val="0"/>
              <w:autoSpaceDE w:val="0"/>
              <w:autoSpaceDN w:val="0"/>
              <w:adjustRightInd w:val="0"/>
              <w:jc w:val="center"/>
              <w:rPr>
                <w:snapToGrid w:val="0"/>
                <w:sz w:val="20"/>
                <w:szCs w:val="20"/>
              </w:rPr>
            </w:pPr>
            <w:r w:rsidRPr="00F04C0B">
              <w:rPr>
                <w:snapToGrid w:val="0"/>
                <w:sz w:val="20"/>
                <w:szCs w:val="20"/>
              </w:rPr>
              <w:t>Dec. 31,</w:t>
            </w:r>
          </w:p>
          <w:p w14:paraId="0D2E6D94" w14:textId="77777777" w:rsidR="00F04C0B" w:rsidRPr="00F04C0B" w:rsidRDefault="00F04C0B" w:rsidP="00F04C0B">
            <w:pPr>
              <w:widowControl w:val="0"/>
              <w:autoSpaceDE w:val="0"/>
              <w:autoSpaceDN w:val="0"/>
              <w:adjustRightInd w:val="0"/>
              <w:jc w:val="center"/>
              <w:rPr>
                <w:snapToGrid w:val="0"/>
                <w:sz w:val="20"/>
                <w:szCs w:val="20"/>
              </w:rPr>
            </w:pPr>
            <w:r w:rsidRPr="00F04C0B">
              <w:rPr>
                <w:snapToGrid w:val="0"/>
                <w:sz w:val="20"/>
                <w:szCs w:val="20"/>
              </w:rPr>
              <w:t>2022</w:t>
            </w:r>
          </w:p>
        </w:tc>
      </w:tr>
      <w:tr w:rsidR="00F04C0B" w:rsidRPr="00F04C0B" w14:paraId="7934F7DA" w14:textId="77777777" w:rsidTr="00315ABB">
        <w:trPr>
          <w:trHeight w:val="276"/>
        </w:trPr>
        <w:tc>
          <w:tcPr>
            <w:tcW w:w="1699" w:type="dxa"/>
            <w:gridSpan w:val="2"/>
          </w:tcPr>
          <w:p w14:paraId="18F198BB"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Assets:</w:t>
            </w:r>
          </w:p>
        </w:tc>
        <w:tc>
          <w:tcPr>
            <w:tcW w:w="2921" w:type="dxa"/>
          </w:tcPr>
          <w:p w14:paraId="077CF768" w14:textId="77777777" w:rsidR="00F04C0B" w:rsidRPr="00F04C0B" w:rsidRDefault="00F04C0B" w:rsidP="00F04C0B">
            <w:pPr>
              <w:widowControl w:val="0"/>
              <w:autoSpaceDE w:val="0"/>
              <w:autoSpaceDN w:val="0"/>
              <w:adjustRightInd w:val="0"/>
              <w:jc w:val="right"/>
              <w:rPr>
                <w:snapToGrid w:val="0"/>
                <w:sz w:val="20"/>
                <w:szCs w:val="20"/>
              </w:rPr>
            </w:pPr>
          </w:p>
        </w:tc>
        <w:tc>
          <w:tcPr>
            <w:tcW w:w="478" w:type="dxa"/>
          </w:tcPr>
          <w:p w14:paraId="602C1078"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1580B492"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059C0AE0"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4E59F1F1"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top w:val="single" w:sz="4" w:space="0" w:color="auto"/>
            </w:tcBorders>
          </w:tcPr>
          <w:p w14:paraId="6BA377B9" w14:textId="77777777" w:rsidR="00F04C0B" w:rsidRPr="00F04C0B" w:rsidRDefault="00F04C0B" w:rsidP="00F04C0B">
            <w:pPr>
              <w:widowControl w:val="0"/>
              <w:autoSpaceDE w:val="0"/>
              <w:autoSpaceDN w:val="0"/>
              <w:adjustRightInd w:val="0"/>
              <w:jc w:val="right"/>
              <w:rPr>
                <w:snapToGrid w:val="0"/>
                <w:sz w:val="20"/>
                <w:szCs w:val="20"/>
              </w:rPr>
            </w:pPr>
          </w:p>
        </w:tc>
      </w:tr>
      <w:tr w:rsidR="00F04C0B" w:rsidRPr="00F04C0B" w14:paraId="668D3799" w14:textId="77777777" w:rsidTr="00315ABB">
        <w:trPr>
          <w:trHeight w:val="276"/>
        </w:trPr>
        <w:tc>
          <w:tcPr>
            <w:tcW w:w="237" w:type="dxa"/>
          </w:tcPr>
          <w:p w14:paraId="00156BF2" w14:textId="77777777" w:rsidR="00F04C0B" w:rsidRPr="00F04C0B" w:rsidRDefault="00F04C0B" w:rsidP="00F04C0B">
            <w:pPr>
              <w:widowControl w:val="0"/>
              <w:autoSpaceDE w:val="0"/>
              <w:autoSpaceDN w:val="0"/>
              <w:adjustRightInd w:val="0"/>
              <w:jc w:val="right"/>
              <w:rPr>
                <w:snapToGrid w:val="0"/>
                <w:sz w:val="20"/>
                <w:szCs w:val="20"/>
              </w:rPr>
            </w:pPr>
            <w:bookmarkStart w:id="1" w:name="_Hlk69717749"/>
          </w:p>
        </w:tc>
        <w:tc>
          <w:tcPr>
            <w:tcW w:w="4383" w:type="dxa"/>
            <w:gridSpan w:val="2"/>
          </w:tcPr>
          <w:p w14:paraId="50DADF3B"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Cash and cash equivalents</w:t>
            </w:r>
          </w:p>
        </w:tc>
        <w:tc>
          <w:tcPr>
            <w:tcW w:w="478" w:type="dxa"/>
          </w:tcPr>
          <w:p w14:paraId="77B2BCBD"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1EFF9221" w14:textId="77777777" w:rsidR="00F04C0B" w:rsidRPr="00F04C0B" w:rsidRDefault="00F04C0B" w:rsidP="00F04C0B">
            <w:pPr>
              <w:widowControl w:val="0"/>
              <w:tabs>
                <w:tab w:val="left" w:pos="150"/>
                <w:tab w:val="decimal" w:pos="960"/>
              </w:tabs>
              <w:autoSpaceDE w:val="0"/>
              <w:autoSpaceDN w:val="0"/>
              <w:adjustRightInd w:val="0"/>
              <w:rPr>
                <w:snapToGrid w:val="0"/>
                <w:sz w:val="20"/>
                <w:szCs w:val="20"/>
              </w:rPr>
            </w:pPr>
          </w:p>
        </w:tc>
        <w:tc>
          <w:tcPr>
            <w:tcW w:w="1208" w:type="dxa"/>
          </w:tcPr>
          <w:p w14:paraId="4D95AC04" w14:textId="77777777" w:rsidR="00F04C0B" w:rsidRPr="00F04C0B" w:rsidRDefault="00F04C0B" w:rsidP="00F04C0B">
            <w:pPr>
              <w:widowControl w:val="0"/>
              <w:tabs>
                <w:tab w:val="left" w:pos="180"/>
                <w:tab w:val="decimal" w:pos="910"/>
              </w:tabs>
              <w:autoSpaceDE w:val="0"/>
              <w:autoSpaceDN w:val="0"/>
              <w:adjustRightInd w:val="0"/>
              <w:rPr>
                <w:snapToGrid w:val="0"/>
                <w:sz w:val="20"/>
                <w:szCs w:val="20"/>
              </w:rPr>
            </w:pPr>
          </w:p>
        </w:tc>
        <w:tc>
          <w:tcPr>
            <w:tcW w:w="1208" w:type="dxa"/>
          </w:tcPr>
          <w:p w14:paraId="01F4FFDB" w14:textId="77777777" w:rsidR="00F04C0B" w:rsidRPr="00F04C0B" w:rsidRDefault="00F04C0B" w:rsidP="00F04C0B">
            <w:pPr>
              <w:widowControl w:val="0"/>
              <w:tabs>
                <w:tab w:val="left" w:pos="165"/>
                <w:tab w:val="decimal" w:pos="960"/>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12,687</w:t>
            </w:r>
          </w:p>
        </w:tc>
        <w:tc>
          <w:tcPr>
            <w:tcW w:w="1208" w:type="dxa"/>
          </w:tcPr>
          <w:p w14:paraId="2F082557" w14:textId="77777777" w:rsidR="00F04C0B" w:rsidRPr="00F04C0B" w:rsidRDefault="00F04C0B" w:rsidP="00F04C0B">
            <w:pPr>
              <w:widowControl w:val="0"/>
              <w:tabs>
                <w:tab w:val="left" w:pos="150"/>
                <w:tab w:val="decimal" w:pos="1005"/>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27,613</w:t>
            </w:r>
          </w:p>
        </w:tc>
      </w:tr>
      <w:tr w:rsidR="00F04C0B" w:rsidRPr="00F04C0B" w14:paraId="3932332A" w14:textId="77777777" w:rsidTr="00315ABB">
        <w:trPr>
          <w:trHeight w:val="276"/>
        </w:trPr>
        <w:tc>
          <w:tcPr>
            <w:tcW w:w="237" w:type="dxa"/>
          </w:tcPr>
          <w:p w14:paraId="529AD3E1" w14:textId="77777777" w:rsidR="00F04C0B" w:rsidRPr="00F04C0B" w:rsidRDefault="00F04C0B" w:rsidP="00F04C0B">
            <w:pPr>
              <w:widowControl w:val="0"/>
              <w:autoSpaceDE w:val="0"/>
              <w:autoSpaceDN w:val="0"/>
              <w:adjustRightInd w:val="0"/>
              <w:jc w:val="right"/>
              <w:rPr>
                <w:snapToGrid w:val="0"/>
                <w:sz w:val="20"/>
                <w:szCs w:val="20"/>
              </w:rPr>
            </w:pPr>
            <w:bookmarkStart w:id="2" w:name="_Hlk69717696"/>
            <w:bookmarkEnd w:id="1"/>
          </w:p>
        </w:tc>
        <w:tc>
          <w:tcPr>
            <w:tcW w:w="4383" w:type="dxa"/>
            <w:gridSpan w:val="2"/>
          </w:tcPr>
          <w:p w14:paraId="18BF3CC7"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Other current assets</w:t>
            </w:r>
          </w:p>
        </w:tc>
        <w:tc>
          <w:tcPr>
            <w:tcW w:w="478" w:type="dxa"/>
          </w:tcPr>
          <w:p w14:paraId="7B8B5031"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A9066F5" w14:textId="77777777" w:rsidR="00F04C0B" w:rsidRPr="00F04C0B" w:rsidRDefault="00F04C0B" w:rsidP="00F04C0B">
            <w:pPr>
              <w:widowControl w:val="0"/>
              <w:autoSpaceDE w:val="0"/>
              <w:autoSpaceDN w:val="0"/>
              <w:adjustRightInd w:val="0"/>
              <w:rPr>
                <w:snapToGrid w:val="0"/>
                <w:sz w:val="20"/>
                <w:szCs w:val="20"/>
              </w:rPr>
            </w:pPr>
          </w:p>
        </w:tc>
        <w:tc>
          <w:tcPr>
            <w:tcW w:w="1208" w:type="dxa"/>
          </w:tcPr>
          <w:p w14:paraId="00CA81ED" w14:textId="77777777" w:rsidR="00F04C0B" w:rsidRPr="00F04C0B" w:rsidRDefault="00F04C0B" w:rsidP="00F04C0B">
            <w:pPr>
              <w:widowControl w:val="0"/>
              <w:autoSpaceDE w:val="0"/>
              <w:autoSpaceDN w:val="0"/>
              <w:adjustRightInd w:val="0"/>
              <w:rPr>
                <w:snapToGrid w:val="0"/>
                <w:sz w:val="20"/>
                <w:szCs w:val="20"/>
              </w:rPr>
            </w:pPr>
          </w:p>
        </w:tc>
        <w:tc>
          <w:tcPr>
            <w:tcW w:w="1208" w:type="dxa"/>
            <w:tcBorders>
              <w:bottom w:val="single" w:sz="4" w:space="0" w:color="auto"/>
            </w:tcBorders>
          </w:tcPr>
          <w:p w14:paraId="73E7080F" w14:textId="77777777" w:rsidR="00F04C0B" w:rsidRPr="00F04C0B" w:rsidRDefault="00F04C0B" w:rsidP="00F04C0B">
            <w:pPr>
              <w:widowControl w:val="0"/>
              <w:tabs>
                <w:tab w:val="decimal" w:pos="960"/>
              </w:tabs>
              <w:autoSpaceDE w:val="0"/>
              <w:autoSpaceDN w:val="0"/>
              <w:adjustRightInd w:val="0"/>
              <w:rPr>
                <w:snapToGrid w:val="0"/>
                <w:sz w:val="20"/>
                <w:szCs w:val="20"/>
              </w:rPr>
            </w:pPr>
            <w:r w:rsidRPr="00F04C0B">
              <w:rPr>
                <w:snapToGrid w:val="0"/>
                <w:sz w:val="20"/>
                <w:szCs w:val="20"/>
              </w:rPr>
              <w:t>2,113</w:t>
            </w:r>
          </w:p>
        </w:tc>
        <w:tc>
          <w:tcPr>
            <w:tcW w:w="1208" w:type="dxa"/>
            <w:tcBorders>
              <w:bottom w:val="single" w:sz="4" w:space="0" w:color="auto"/>
            </w:tcBorders>
          </w:tcPr>
          <w:p w14:paraId="012D12AD" w14:textId="77777777" w:rsidR="00F04C0B" w:rsidRPr="00F04C0B" w:rsidRDefault="00F04C0B" w:rsidP="00F04C0B">
            <w:pPr>
              <w:widowControl w:val="0"/>
              <w:tabs>
                <w:tab w:val="decimal" w:pos="1005"/>
              </w:tabs>
              <w:autoSpaceDE w:val="0"/>
              <w:autoSpaceDN w:val="0"/>
              <w:adjustRightInd w:val="0"/>
              <w:rPr>
                <w:snapToGrid w:val="0"/>
                <w:sz w:val="20"/>
                <w:szCs w:val="20"/>
              </w:rPr>
            </w:pPr>
            <w:r w:rsidRPr="00F04C0B">
              <w:rPr>
                <w:snapToGrid w:val="0"/>
                <w:sz w:val="20"/>
                <w:szCs w:val="20"/>
              </w:rPr>
              <w:t>1,326</w:t>
            </w:r>
          </w:p>
        </w:tc>
      </w:tr>
      <w:bookmarkEnd w:id="2"/>
      <w:tr w:rsidR="00F04C0B" w:rsidRPr="00F04C0B" w14:paraId="4EF9CECE" w14:textId="77777777" w:rsidTr="00315ABB">
        <w:trPr>
          <w:trHeight w:val="276"/>
        </w:trPr>
        <w:tc>
          <w:tcPr>
            <w:tcW w:w="237" w:type="dxa"/>
          </w:tcPr>
          <w:p w14:paraId="55E1B490"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4ED8E99A"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Total current assets</w:t>
            </w:r>
          </w:p>
        </w:tc>
        <w:tc>
          <w:tcPr>
            <w:tcW w:w="478" w:type="dxa"/>
          </w:tcPr>
          <w:p w14:paraId="7286AB5C"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3368D046"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570ADDFA"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top w:val="single" w:sz="4" w:space="0" w:color="auto"/>
            </w:tcBorders>
          </w:tcPr>
          <w:p w14:paraId="56F2A3C6" w14:textId="77777777" w:rsidR="00F04C0B" w:rsidRPr="00F04C0B" w:rsidRDefault="00F04C0B" w:rsidP="00F04C0B">
            <w:pPr>
              <w:widowControl w:val="0"/>
              <w:tabs>
                <w:tab w:val="left" w:pos="150"/>
                <w:tab w:val="decimal" w:pos="960"/>
              </w:tabs>
              <w:autoSpaceDE w:val="0"/>
              <w:autoSpaceDN w:val="0"/>
              <w:adjustRightInd w:val="0"/>
              <w:rPr>
                <w:snapToGrid w:val="0"/>
                <w:sz w:val="20"/>
                <w:szCs w:val="20"/>
              </w:rPr>
            </w:pPr>
            <w:r w:rsidRPr="00F04C0B">
              <w:rPr>
                <w:snapToGrid w:val="0"/>
                <w:sz w:val="20"/>
                <w:szCs w:val="20"/>
              </w:rPr>
              <w:tab/>
            </w:r>
            <w:r w:rsidRPr="00F04C0B">
              <w:rPr>
                <w:snapToGrid w:val="0"/>
                <w:sz w:val="20"/>
                <w:szCs w:val="20"/>
              </w:rPr>
              <w:tab/>
              <w:t>14,800</w:t>
            </w:r>
          </w:p>
        </w:tc>
        <w:tc>
          <w:tcPr>
            <w:tcW w:w="1208" w:type="dxa"/>
            <w:tcBorders>
              <w:top w:val="single" w:sz="4" w:space="0" w:color="auto"/>
            </w:tcBorders>
          </w:tcPr>
          <w:p w14:paraId="3581C89C" w14:textId="77777777" w:rsidR="00F04C0B" w:rsidRPr="00F04C0B" w:rsidRDefault="00F04C0B" w:rsidP="00F04C0B">
            <w:pPr>
              <w:widowControl w:val="0"/>
              <w:tabs>
                <w:tab w:val="left" w:pos="195"/>
                <w:tab w:val="decimal" w:pos="1005"/>
              </w:tabs>
              <w:autoSpaceDE w:val="0"/>
              <w:autoSpaceDN w:val="0"/>
              <w:adjustRightInd w:val="0"/>
              <w:rPr>
                <w:snapToGrid w:val="0"/>
                <w:sz w:val="20"/>
                <w:szCs w:val="20"/>
              </w:rPr>
            </w:pPr>
            <w:r w:rsidRPr="00F04C0B">
              <w:rPr>
                <w:snapToGrid w:val="0"/>
                <w:sz w:val="20"/>
                <w:szCs w:val="20"/>
              </w:rPr>
              <w:tab/>
            </w:r>
            <w:r w:rsidRPr="00F04C0B">
              <w:rPr>
                <w:snapToGrid w:val="0"/>
                <w:sz w:val="20"/>
                <w:szCs w:val="20"/>
              </w:rPr>
              <w:tab/>
              <w:t>28,939</w:t>
            </w:r>
          </w:p>
        </w:tc>
      </w:tr>
      <w:tr w:rsidR="00F04C0B" w:rsidRPr="00F04C0B" w14:paraId="056BABFC" w14:textId="77777777" w:rsidTr="00315ABB">
        <w:trPr>
          <w:trHeight w:val="276"/>
        </w:trPr>
        <w:tc>
          <w:tcPr>
            <w:tcW w:w="237" w:type="dxa"/>
          </w:tcPr>
          <w:p w14:paraId="607F8F46"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18A8537D"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Property and other assets, net</w:t>
            </w:r>
          </w:p>
        </w:tc>
        <w:tc>
          <w:tcPr>
            <w:tcW w:w="478" w:type="dxa"/>
          </w:tcPr>
          <w:p w14:paraId="0C979AD6"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F1BAE9A" w14:textId="77777777" w:rsidR="00F04C0B" w:rsidRPr="00F04C0B" w:rsidRDefault="00F04C0B" w:rsidP="00F04C0B">
            <w:pPr>
              <w:widowControl w:val="0"/>
              <w:autoSpaceDE w:val="0"/>
              <w:autoSpaceDN w:val="0"/>
              <w:adjustRightInd w:val="0"/>
              <w:rPr>
                <w:snapToGrid w:val="0"/>
                <w:sz w:val="20"/>
                <w:szCs w:val="20"/>
              </w:rPr>
            </w:pPr>
          </w:p>
        </w:tc>
        <w:tc>
          <w:tcPr>
            <w:tcW w:w="1208" w:type="dxa"/>
          </w:tcPr>
          <w:p w14:paraId="54061FE3" w14:textId="77777777" w:rsidR="00F04C0B" w:rsidRPr="00F04C0B" w:rsidRDefault="00F04C0B" w:rsidP="00F04C0B">
            <w:pPr>
              <w:widowControl w:val="0"/>
              <w:autoSpaceDE w:val="0"/>
              <w:autoSpaceDN w:val="0"/>
              <w:adjustRightInd w:val="0"/>
              <w:rPr>
                <w:snapToGrid w:val="0"/>
                <w:sz w:val="20"/>
                <w:szCs w:val="20"/>
              </w:rPr>
            </w:pPr>
          </w:p>
        </w:tc>
        <w:tc>
          <w:tcPr>
            <w:tcW w:w="1208" w:type="dxa"/>
            <w:tcBorders>
              <w:bottom w:val="single" w:sz="4" w:space="0" w:color="auto"/>
            </w:tcBorders>
          </w:tcPr>
          <w:p w14:paraId="0A022E6C" w14:textId="77777777" w:rsidR="00F04C0B" w:rsidRPr="00F04C0B" w:rsidRDefault="00F04C0B" w:rsidP="00F04C0B">
            <w:pPr>
              <w:widowControl w:val="0"/>
              <w:tabs>
                <w:tab w:val="decimal" w:pos="960"/>
              </w:tabs>
              <w:autoSpaceDE w:val="0"/>
              <w:autoSpaceDN w:val="0"/>
              <w:adjustRightInd w:val="0"/>
              <w:rPr>
                <w:snapToGrid w:val="0"/>
                <w:sz w:val="20"/>
                <w:szCs w:val="20"/>
              </w:rPr>
            </w:pPr>
            <w:r w:rsidRPr="00F04C0B">
              <w:rPr>
                <w:snapToGrid w:val="0"/>
                <w:sz w:val="20"/>
                <w:szCs w:val="20"/>
              </w:rPr>
              <w:t>1,401</w:t>
            </w:r>
          </w:p>
        </w:tc>
        <w:tc>
          <w:tcPr>
            <w:tcW w:w="1208" w:type="dxa"/>
            <w:tcBorders>
              <w:bottom w:val="single" w:sz="4" w:space="0" w:color="auto"/>
            </w:tcBorders>
          </w:tcPr>
          <w:p w14:paraId="10BB8861" w14:textId="77777777" w:rsidR="00F04C0B" w:rsidRPr="00F04C0B" w:rsidRDefault="00F04C0B" w:rsidP="00F04C0B">
            <w:pPr>
              <w:widowControl w:val="0"/>
              <w:tabs>
                <w:tab w:val="decimal" w:pos="1005"/>
              </w:tabs>
              <w:autoSpaceDE w:val="0"/>
              <w:autoSpaceDN w:val="0"/>
              <w:adjustRightInd w:val="0"/>
              <w:rPr>
                <w:snapToGrid w:val="0"/>
                <w:sz w:val="20"/>
                <w:szCs w:val="20"/>
              </w:rPr>
            </w:pPr>
            <w:r w:rsidRPr="00F04C0B">
              <w:rPr>
                <w:snapToGrid w:val="0"/>
                <w:sz w:val="20"/>
                <w:szCs w:val="20"/>
              </w:rPr>
              <w:t>2,409</w:t>
            </w:r>
          </w:p>
        </w:tc>
      </w:tr>
      <w:tr w:rsidR="00F04C0B" w:rsidRPr="00F04C0B" w14:paraId="3FD03FCB" w14:textId="77777777" w:rsidTr="00315ABB">
        <w:trPr>
          <w:trHeight w:val="276"/>
        </w:trPr>
        <w:tc>
          <w:tcPr>
            <w:tcW w:w="237" w:type="dxa"/>
          </w:tcPr>
          <w:p w14:paraId="0EB1A59C"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502B1AF3"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Total assets</w:t>
            </w:r>
          </w:p>
        </w:tc>
        <w:tc>
          <w:tcPr>
            <w:tcW w:w="478" w:type="dxa"/>
          </w:tcPr>
          <w:p w14:paraId="20B5CED8"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79CD03E4" w14:textId="77777777" w:rsidR="00F04C0B" w:rsidRPr="00F04C0B" w:rsidRDefault="00F04C0B" w:rsidP="00F04C0B">
            <w:pPr>
              <w:widowControl w:val="0"/>
              <w:tabs>
                <w:tab w:val="left" w:pos="150"/>
                <w:tab w:val="decimal" w:pos="960"/>
              </w:tabs>
              <w:autoSpaceDE w:val="0"/>
              <w:autoSpaceDN w:val="0"/>
              <w:adjustRightInd w:val="0"/>
              <w:rPr>
                <w:snapToGrid w:val="0"/>
                <w:sz w:val="20"/>
                <w:szCs w:val="20"/>
              </w:rPr>
            </w:pPr>
          </w:p>
        </w:tc>
        <w:tc>
          <w:tcPr>
            <w:tcW w:w="1208" w:type="dxa"/>
          </w:tcPr>
          <w:p w14:paraId="491B3059" w14:textId="77777777" w:rsidR="00F04C0B" w:rsidRPr="00F04C0B" w:rsidRDefault="00F04C0B" w:rsidP="00F04C0B">
            <w:pPr>
              <w:widowControl w:val="0"/>
              <w:tabs>
                <w:tab w:val="left" w:pos="180"/>
                <w:tab w:val="decimal" w:pos="910"/>
              </w:tabs>
              <w:autoSpaceDE w:val="0"/>
              <w:autoSpaceDN w:val="0"/>
              <w:adjustRightInd w:val="0"/>
              <w:rPr>
                <w:snapToGrid w:val="0"/>
                <w:sz w:val="20"/>
                <w:szCs w:val="20"/>
              </w:rPr>
            </w:pPr>
          </w:p>
        </w:tc>
        <w:tc>
          <w:tcPr>
            <w:tcW w:w="1208" w:type="dxa"/>
          </w:tcPr>
          <w:p w14:paraId="331A9D2D" w14:textId="77777777" w:rsidR="00F04C0B" w:rsidRPr="00F04C0B" w:rsidRDefault="00F04C0B" w:rsidP="00F04C0B">
            <w:pPr>
              <w:widowControl w:val="0"/>
              <w:tabs>
                <w:tab w:val="left" w:pos="165"/>
                <w:tab w:val="decimal" w:pos="960"/>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16,201</w:t>
            </w:r>
          </w:p>
        </w:tc>
        <w:tc>
          <w:tcPr>
            <w:tcW w:w="1208" w:type="dxa"/>
          </w:tcPr>
          <w:p w14:paraId="1F0C8ED5" w14:textId="77777777" w:rsidR="00F04C0B" w:rsidRPr="00F04C0B" w:rsidRDefault="00F04C0B" w:rsidP="00F04C0B">
            <w:pPr>
              <w:widowControl w:val="0"/>
              <w:tabs>
                <w:tab w:val="left" w:pos="150"/>
                <w:tab w:val="decimal" w:pos="1005"/>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31,348</w:t>
            </w:r>
          </w:p>
        </w:tc>
      </w:tr>
      <w:tr w:rsidR="00F04C0B" w:rsidRPr="00F04C0B" w14:paraId="1CCEA064" w14:textId="77777777" w:rsidTr="00315ABB">
        <w:trPr>
          <w:trHeight w:val="276"/>
        </w:trPr>
        <w:tc>
          <w:tcPr>
            <w:tcW w:w="237" w:type="dxa"/>
          </w:tcPr>
          <w:p w14:paraId="332C345A" w14:textId="77777777" w:rsidR="00F04C0B" w:rsidRPr="00F04C0B" w:rsidRDefault="00F04C0B" w:rsidP="00F04C0B">
            <w:pPr>
              <w:widowControl w:val="0"/>
              <w:autoSpaceDE w:val="0"/>
              <w:autoSpaceDN w:val="0"/>
              <w:adjustRightInd w:val="0"/>
              <w:jc w:val="right"/>
              <w:rPr>
                <w:snapToGrid w:val="0"/>
                <w:sz w:val="20"/>
                <w:szCs w:val="20"/>
              </w:rPr>
            </w:pPr>
          </w:p>
        </w:tc>
        <w:tc>
          <w:tcPr>
            <w:tcW w:w="1462" w:type="dxa"/>
          </w:tcPr>
          <w:p w14:paraId="41E11FDC" w14:textId="77777777" w:rsidR="00F04C0B" w:rsidRPr="00F04C0B" w:rsidRDefault="00F04C0B" w:rsidP="00F04C0B">
            <w:pPr>
              <w:widowControl w:val="0"/>
              <w:autoSpaceDE w:val="0"/>
              <w:autoSpaceDN w:val="0"/>
              <w:adjustRightInd w:val="0"/>
              <w:jc w:val="right"/>
              <w:rPr>
                <w:snapToGrid w:val="0"/>
                <w:sz w:val="20"/>
                <w:szCs w:val="20"/>
              </w:rPr>
            </w:pPr>
          </w:p>
        </w:tc>
        <w:tc>
          <w:tcPr>
            <w:tcW w:w="2921" w:type="dxa"/>
          </w:tcPr>
          <w:p w14:paraId="7490197A" w14:textId="77777777" w:rsidR="00F04C0B" w:rsidRPr="00F04C0B" w:rsidRDefault="00F04C0B" w:rsidP="00F04C0B">
            <w:pPr>
              <w:widowControl w:val="0"/>
              <w:autoSpaceDE w:val="0"/>
              <w:autoSpaceDN w:val="0"/>
              <w:adjustRightInd w:val="0"/>
              <w:jc w:val="right"/>
              <w:rPr>
                <w:snapToGrid w:val="0"/>
                <w:sz w:val="20"/>
                <w:szCs w:val="20"/>
              </w:rPr>
            </w:pPr>
          </w:p>
        </w:tc>
        <w:tc>
          <w:tcPr>
            <w:tcW w:w="478" w:type="dxa"/>
          </w:tcPr>
          <w:p w14:paraId="572E665D"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A19E02B"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3DB9980E"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top w:val="double" w:sz="4" w:space="0" w:color="auto"/>
            </w:tcBorders>
          </w:tcPr>
          <w:p w14:paraId="140B210A"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top w:val="double" w:sz="4" w:space="0" w:color="auto"/>
            </w:tcBorders>
          </w:tcPr>
          <w:p w14:paraId="09FF28D8" w14:textId="77777777" w:rsidR="00F04C0B" w:rsidRPr="00F04C0B" w:rsidRDefault="00F04C0B" w:rsidP="00F04C0B">
            <w:pPr>
              <w:widowControl w:val="0"/>
              <w:autoSpaceDE w:val="0"/>
              <w:autoSpaceDN w:val="0"/>
              <w:adjustRightInd w:val="0"/>
              <w:jc w:val="right"/>
              <w:rPr>
                <w:snapToGrid w:val="0"/>
                <w:sz w:val="20"/>
                <w:szCs w:val="20"/>
              </w:rPr>
            </w:pPr>
          </w:p>
        </w:tc>
      </w:tr>
      <w:tr w:rsidR="00F04C0B" w:rsidRPr="00F04C0B" w14:paraId="6AA893A4" w14:textId="77777777" w:rsidTr="00315ABB">
        <w:trPr>
          <w:trHeight w:val="276"/>
        </w:trPr>
        <w:tc>
          <w:tcPr>
            <w:tcW w:w="4620" w:type="dxa"/>
            <w:gridSpan w:val="3"/>
          </w:tcPr>
          <w:p w14:paraId="3DEBDF77"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Liabilities and stockholders’ equity</w:t>
            </w:r>
          </w:p>
        </w:tc>
        <w:tc>
          <w:tcPr>
            <w:tcW w:w="478" w:type="dxa"/>
          </w:tcPr>
          <w:p w14:paraId="1CE8A87B"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4943EC4"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6638B500"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884AC00"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04C73E2A" w14:textId="77777777" w:rsidR="00F04C0B" w:rsidRPr="00F04C0B" w:rsidRDefault="00F04C0B" w:rsidP="00F04C0B">
            <w:pPr>
              <w:widowControl w:val="0"/>
              <w:autoSpaceDE w:val="0"/>
              <w:autoSpaceDN w:val="0"/>
              <w:adjustRightInd w:val="0"/>
              <w:jc w:val="right"/>
              <w:rPr>
                <w:snapToGrid w:val="0"/>
                <w:sz w:val="20"/>
                <w:szCs w:val="20"/>
              </w:rPr>
            </w:pPr>
          </w:p>
        </w:tc>
      </w:tr>
      <w:tr w:rsidR="00F04C0B" w:rsidRPr="00F04C0B" w14:paraId="123857CC" w14:textId="77777777" w:rsidTr="00315ABB">
        <w:trPr>
          <w:trHeight w:val="276"/>
        </w:trPr>
        <w:tc>
          <w:tcPr>
            <w:tcW w:w="237" w:type="dxa"/>
          </w:tcPr>
          <w:p w14:paraId="6034F83B"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6B23E0B9"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Total liabilities</w:t>
            </w:r>
          </w:p>
        </w:tc>
        <w:tc>
          <w:tcPr>
            <w:tcW w:w="478" w:type="dxa"/>
          </w:tcPr>
          <w:p w14:paraId="5A710B9F"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3DD7BAB0"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1821C94F"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6334873B" w14:textId="77777777" w:rsidR="00F04C0B" w:rsidRPr="00F04C0B" w:rsidRDefault="00F04C0B" w:rsidP="00F04C0B">
            <w:pPr>
              <w:widowControl w:val="0"/>
              <w:tabs>
                <w:tab w:val="left" w:pos="150"/>
                <w:tab w:val="decimal" w:pos="960"/>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7,082</w:t>
            </w:r>
          </w:p>
        </w:tc>
        <w:tc>
          <w:tcPr>
            <w:tcW w:w="1208" w:type="dxa"/>
          </w:tcPr>
          <w:p w14:paraId="7134D0BA" w14:textId="77777777" w:rsidR="00F04C0B" w:rsidRPr="00F04C0B" w:rsidRDefault="00F04C0B" w:rsidP="00F04C0B">
            <w:pPr>
              <w:widowControl w:val="0"/>
              <w:tabs>
                <w:tab w:val="left" w:pos="165"/>
                <w:tab w:val="decimal" w:pos="1005"/>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4,748</w:t>
            </w:r>
          </w:p>
        </w:tc>
      </w:tr>
      <w:tr w:rsidR="00F04C0B" w:rsidRPr="00F04C0B" w14:paraId="2EA44D4F" w14:textId="77777777" w:rsidTr="00315ABB">
        <w:trPr>
          <w:trHeight w:val="276"/>
        </w:trPr>
        <w:tc>
          <w:tcPr>
            <w:tcW w:w="237" w:type="dxa"/>
          </w:tcPr>
          <w:p w14:paraId="168CFA10"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39620032"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Stockholders’ equity</w:t>
            </w:r>
          </w:p>
        </w:tc>
        <w:tc>
          <w:tcPr>
            <w:tcW w:w="478" w:type="dxa"/>
          </w:tcPr>
          <w:p w14:paraId="7FAE4378"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5B5F5378"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73120C9D"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bottom w:val="single" w:sz="4" w:space="0" w:color="auto"/>
            </w:tcBorders>
          </w:tcPr>
          <w:p w14:paraId="167AE411" w14:textId="77777777" w:rsidR="00F04C0B" w:rsidRPr="00F04C0B" w:rsidRDefault="00F04C0B" w:rsidP="00F04C0B">
            <w:pPr>
              <w:widowControl w:val="0"/>
              <w:tabs>
                <w:tab w:val="decimal" w:pos="960"/>
              </w:tabs>
              <w:autoSpaceDE w:val="0"/>
              <w:autoSpaceDN w:val="0"/>
              <w:adjustRightInd w:val="0"/>
              <w:rPr>
                <w:snapToGrid w:val="0"/>
                <w:sz w:val="20"/>
                <w:szCs w:val="20"/>
              </w:rPr>
            </w:pPr>
            <w:r w:rsidRPr="00F04C0B">
              <w:rPr>
                <w:snapToGrid w:val="0"/>
                <w:sz w:val="20"/>
                <w:szCs w:val="20"/>
              </w:rPr>
              <w:t>9,119</w:t>
            </w:r>
          </w:p>
        </w:tc>
        <w:tc>
          <w:tcPr>
            <w:tcW w:w="1208" w:type="dxa"/>
            <w:tcBorders>
              <w:bottom w:val="single" w:sz="4" w:space="0" w:color="auto"/>
            </w:tcBorders>
          </w:tcPr>
          <w:p w14:paraId="038C0B90" w14:textId="77777777" w:rsidR="00F04C0B" w:rsidRPr="00F04C0B" w:rsidRDefault="00F04C0B" w:rsidP="00F04C0B">
            <w:pPr>
              <w:widowControl w:val="0"/>
              <w:tabs>
                <w:tab w:val="decimal" w:pos="1005"/>
              </w:tabs>
              <w:autoSpaceDE w:val="0"/>
              <w:autoSpaceDN w:val="0"/>
              <w:adjustRightInd w:val="0"/>
              <w:rPr>
                <w:snapToGrid w:val="0"/>
                <w:sz w:val="20"/>
                <w:szCs w:val="20"/>
              </w:rPr>
            </w:pPr>
            <w:r w:rsidRPr="00F04C0B">
              <w:rPr>
                <w:snapToGrid w:val="0"/>
                <w:sz w:val="20"/>
                <w:szCs w:val="20"/>
              </w:rPr>
              <w:t>26,600</w:t>
            </w:r>
          </w:p>
        </w:tc>
      </w:tr>
      <w:tr w:rsidR="00F04C0B" w:rsidRPr="00F04C0B" w14:paraId="34A7C94D" w14:textId="77777777" w:rsidTr="00315ABB">
        <w:trPr>
          <w:trHeight w:val="276"/>
        </w:trPr>
        <w:tc>
          <w:tcPr>
            <w:tcW w:w="237" w:type="dxa"/>
          </w:tcPr>
          <w:p w14:paraId="703699CD" w14:textId="77777777" w:rsidR="00F04C0B" w:rsidRPr="00F04C0B" w:rsidRDefault="00F04C0B" w:rsidP="00F04C0B">
            <w:pPr>
              <w:widowControl w:val="0"/>
              <w:autoSpaceDE w:val="0"/>
              <w:autoSpaceDN w:val="0"/>
              <w:adjustRightInd w:val="0"/>
              <w:jc w:val="right"/>
              <w:rPr>
                <w:snapToGrid w:val="0"/>
                <w:sz w:val="20"/>
                <w:szCs w:val="20"/>
              </w:rPr>
            </w:pPr>
          </w:p>
        </w:tc>
        <w:tc>
          <w:tcPr>
            <w:tcW w:w="6069" w:type="dxa"/>
            <w:gridSpan w:val="4"/>
          </w:tcPr>
          <w:p w14:paraId="79B73FF6"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Total liabilities and stockholders’ equity</w:t>
            </w:r>
          </w:p>
        </w:tc>
        <w:tc>
          <w:tcPr>
            <w:tcW w:w="1208" w:type="dxa"/>
          </w:tcPr>
          <w:p w14:paraId="061DAF31"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Borders>
              <w:top w:val="single" w:sz="4" w:space="0" w:color="auto"/>
              <w:bottom w:val="double" w:sz="4" w:space="0" w:color="auto"/>
            </w:tcBorders>
          </w:tcPr>
          <w:p w14:paraId="3BD690CA" w14:textId="77777777" w:rsidR="00F04C0B" w:rsidRPr="00F04C0B" w:rsidRDefault="00F04C0B" w:rsidP="00F04C0B">
            <w:pPr>
              <w:widowControl w:val="0"/>
              <w:tabs>
                <w:tab w:val="left" w:pos="165"/>
                <w:tab w:val="decimal" w:pos="960"/>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16,201</w:t>
            </w:r>
          </w:p>
        </w:tc>
        <w:tc>
          <w:tcPr>
            <w:tcW w:w="1208" w:type="dxa"/>
            <w:tcBorders>
              <w:top w:val="single" w:sz="4" w:space="0" w:color="auto"/>
              <w:bottom w:val="double" w:sz="4" w:space="0" w:color="auto"/>
            </w:tcBorders>
          </w:tcPr>
          <w:p w14:paraId="317D72BF" w14:textId="77777777" w:rsidR="00F04C0B" w:rsidRPr="00F04C0B" w:rsidRDefault="00F04C0B" w:rsidP="00F04C0B">
            <w:pPr>
              <w:widowControl w:val="0"/>
              <w:tabs>
                <w:tab w:val="left" w:pos="105"/>
                <w:tab w:val="decimal" w:pos="1005"/>
              </w:tabs>
              <w:autoSpaceDE w:val="0"/>
              <w:autoSpaceDN w:val="0"/>
              <w:adjustRightInd w:val="0"/>
              <w:rPr>
                <w:snapToGrid w:val="0"/>
                <w:sz w:val="20"/>
                <w:szCs w:val="20"/>
              </w:rPr>
            </w:pPr>
            <w:r w:rsidRPr="00F04C0B">
              <w:rPr>
                <w:snapToGrid w:val="0"/>
                <w:sz w:val="20"/>
                <w:szCs w:val="20"/>
              </w:rPr>
              <w:t>$</w:t>
            </w:r>
            <w:r w:rsidRPr="00F04C0B">
              <w:rPr>
                <w:snapToGrid w:val="0"/>
                <w:sz w:val="20"/>
                <w:szCs w:val="20"/>
              </w:rPr>
              <w:tab/>
            </w:r>
            <w:r w:rsidRPr="00F04C0B">
              <w:rPr>
                <w:snapToGrid w:val="0"/>
                <w:sz w:val="20"/>
                <w:szCs w:val="20"/>
              </w:rPr>
              <w:tab/>
              <w:t>31,348</w:t>
            </w:r>
          </w:p>
        </w:tc>
      </w:tr>
      <w:tr w:rsidR="00F04C0B" w:rsidRPr="00F04C0B" w14:paraId="4AF505DA" w14:textId="77777777" w:rsidTr="00315ABB">
        <w:trPr>
          <w:trHeight w:val="276"/>
        </w:trPr>
        <w:tc>
          <w:tcPr>
            <w:tcW w:w="237" w:type="dxa"/>
          </w:tcPr>
          <w:p w14:paraId="23E2667E"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3F82A93E" w14:textId="77777777" w:rsidR="00F04C0B" w:rsidRPr="00F04C0B" w:rsidRDefault="00F04C0B" w:rsidP="00F04C0B">
            <w:pPr>
              <w:widowControl w:val="0"/>
              <w:autoSpaceDE w:val="0"/>
              <w:autoSpaceDN w:val="0"/>
              <w:adjustRightInd w:val="0"/>
              <w:rPr>
                <w:snapToGrid w:val="0"/>
                <w:sz w:val="20"/>
                <w:szCs w:val="20"/>
              </w:rPr>
            </w:pPr>
          </w:p>
        </w:tc>
        <w:tc>
          <w:tcPr>
            <w:tcW w:w="478" w:type="dxa"/>
          </w:tcPr>
          <w:p w14:paraId="12A39594"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8AE1161"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38DD7C12"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23EDA378"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6EA4FFC4" w14:textId="77777777" w:rsidR="00F04C0B" w:rsidRPr="00F04C0B" w:rsidRDefault="00F04C0B" w:rsidP="00F04C0B">
            <w:pPr>
              <w:widowControl w:val="0"/>
              <w:autoSpaceDE w:val="0"/>
              <w:autoSpaceDN w:val="0"/>
              <w:adjustRightInd w:val="0"/>
              <w:jc w:val="right"/>
              <w:rPr>
                <w:snapToGrid w:val="0"/>
                <w:sz w:val="20"/>
                <w:szCs w:val="20"/>
              </w:rPr>
            </w:pPr>
          </w:p>
        </w:tc>
      </w:tr>
      <w:tr w:rsidR="00F04C0B" w:rsidRPr="00F04C0B" w14:paraId="6611FF74" w14:textId="77777777" w:rsidTr="00315ABB">
        <w:trPr>
          <w:trHeight w:val="276"/>
        </w:trPr>
        <w:tc>
          <w:tcPr>
            <w:tcW w:w="237" w:type="dxa"/>
          </w:tcPr>
          <w:p w14:paraId="34EE5B94" w14:textId="77777777" w:rsidR="00F04C0B" w:rsidRPr="00F04C0B" w:rsidRDefault="00F04C0B" w:rsidP="00F04C0B">
            <w:pPr>
              <w:widowControl w:val="0"/>
              <w:autoSpaceDE w:val="0"/>
              <w:autoSpaceDN w:val="0"/>
              <w:adjustRightInd w:val="0"/>
              <w:jc w:val="right"/>
              <w:rPr>
                <w:snapToGrid w:val="0"/>
                <w:sz w:val="20"/>
                <w:szCs w:val="20"/>
              </w:rPr>
            </w:pPr>
          </w:p>
        </w:tc>
        <w:tc>
          <w:tcPr>
            <w:tcW w:w="4383" w:type="dxa"/>
            <w:gridSpan w:val="2"/>
          </w:tcPr>
          <w:p w14:paraId="373C1F5F" w14:textId="77777777" w:rsidR="00F04C0B" w:rsidRPr="00F04C0B" w:rsidRDefault="00F04C0B" w:rsidP="00F04C0B">
            <w:pPr>
              <w:widowControl w:val="0"/>
              <w:autoSpaceDE w:val="0"/>
              <w:autoSpaceDN w:val="0"/>
              <w:adjustRightInd w:val="0"/>
              <w:rPr>
                <w:snapToGrid w:val="0"/>
                <w:sz w:val="20"/>
                <w:szCs w:val="20"/>
              </w:rPr>
            </w:pPr>
            <w:r w:rsidRPr="00F04C0B">
              <w:rPr>
                <w:snapToGrid w:val="0"/>
                <w:sz w:val="20"/>
                <w:szCs w:val="20"/>
              </w:rPr>
              <w:t>Common shares outstanding</w:t>
            </w:r>
          </w:p>
        </w:tc>
        <w:tc>
          <w:tcPr>
            <w:tcW w:w="478" w:type="dxa"/>
          </w:tcPr>
          <w:p w14:paraId="188C5ADA"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5B8620C7"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43A46C5A" w14:textId="77777777" w:rsidR="00F04C0B" w:rsidRPr="00F04C0B" w:rsidRDefault="00F04C0B" w:rsidP="00F04C0B">
            <w:pPr>
              <w:widowControl w:val="0"/>
              <w:autoSpaceDE w:val="0"/>
              <w:autoSpaceDN w:val="0"/>
              <w:adjustRightInd w:val="0"/>
              <w:jc w:val="right"/>
              <w:rPr>
                <w:snapToGrid w:val="0"/>
                <w:sz w:val="20"/>
                <w:szCs w:val="20"/>
              </w:rPr>
            </w:pPr>
          </w:p>
        </w:tc>
        <w:tc>
          <w:tcPr>
            <w:tcW w:w="1208" w:type="dxa"/>
          </w:tcPr>
          <w:p w14:paraId="15DD8E6B" w14:textId="77777777" w:rsidR="00F04C0B" w:rsidRPr="00F04C0B" w:rsidRDefault="00F04C0B" w:rsidP="00F04C0B">
            <w:pPr>
              <w:widowControl w:val="0"/>
              <w:tabs>
                <w:tab w:val="left" w:pos="150"/>
                <w:tab w:val="decimal" w:pos="960"/>
              </w:tabs>
              <w:autoSpaceDE w:val="0"/>
              <w:autoSpaceDN w:val="0"/>
              <w:adjustRightInd w:val="0"/>
              <w:rPr>
                <w:snapToGrid w:val="0"/>
                <w:sz w:val="20"/>
                <w:szCs w:val="20"/>
              </w:rPr>
            </w:pPr>
            <w:r w:rsidRPr="00F04C0B">
              <w:rPr>
                <w:snapToGrid w:val="0"/>
                <w:sz w:val="20"/>
                <w:szCs w:val="20"/>
              </w:rPr>
              <w:tab/>
            </w:r>
            <w:r w:rsidRPr="00F04C0B">
              <w:rPr>
                <w:snapToGrid w:val="0"/>
                <w:sz w:val="20"/>
                <w:szCs w:val="20"/>
              </w:rPr>
              <w:tab/>
              <w:t>26,695,287</w:t>
            </w:r>
          </w:p>
        </w:tc>
        <w:tc>
          <w:tcPr>
            <w:tcW w:w="1208" w:type="dxa"/>
          </w:tcPr>
          <w:p w14:paraId="6FAD4A8D" w14:textId="77777777" w:rsidR="00F04C0B" w:rsidRPr="00F04C0B" w:rsidRDefault="00F04C0B" w:rsidP="00F04C0B">
            <w:pPr>
              <w:widowControl w:val="0"/>
              <w:tabs>
                <w:tab w:val="left" w:pos="165"/>
                <w:tab w:val="decimal" w:pos="1005"/>
              </w:tabs>
              <w:autoSpaceDE w:val="0"/>
              <w:autoSpaceDN w:val="0"/>
              <w:adjustRightInd w:val="0"/>
              <w:rPr>
                <w:snapToGrid w:val="0"/>
                <w:sz w:val="20"/>
                <w:szCs w:val="20"/>
              </w:rPr>
            </w:pPr>
            <w:r w:rsidRPr="00F04C0B">
              <w:rPr>
                <w:snapToGrid w:val="0"/>
                <w:sz w:val="20"/>
                <w:szCs w:val="20"/>
              </w:rPr>
              <w:tab/>
            </w:r>
            <w:r w:rsidRPr="00F04C0B">
              <w:rPr>
                <w:snapToGrid w:val="0"/>
                <w:sz w:val="20"/>
                <w:szCs w:val="20"/>
              </w:rPr>
              <w:tab/>
              <w:t>26,334,953</w:t>
            </w:r>
          </w:p>
        </w:tc>
      </w:tr>
    </w:tbl>
    <w:p w14:paraId="5B81E546" w14:textId="77777777" w:rsidR="00F04C0B" w:rsidRPr="00F04C0B" w:rsidRDefault="00F04C0B" w:rsidP="00F04C0B">
      <w:pPr>
        <w:widowControl w:val="0"/>
        <w:autoSpaceDE w:val="0"/>
        <w:autoSpaceDN w:val="0"/>
        <w:adjustRightInd w:val="0"/>
        <w:jc w:val="both"/>
        <w:rPr>
          <w:sz w:val="20"/>
          <w:szCs w:val="20"/>
        </w:rPr>
      </w:pPr>
    </w:p>
    <w:p w14:paraId="214589FF" w14:textId="77777777" w:rsidR="00F04C0B" w:rsidRPr="00F04C0B" w:rsidRDefault="00F04C0B" w:rsidP="00F04C0B">
      <w:pPr>
        <w:widowControl w:val="0"/>
        <w:autoSpaceDE w:val="0"/>
        <w:autoSpaceDN w:val="0"/>
        <w:adjustRightInd w:val="0"/>
        <w:jc w:val="both"/>
        <w:rPr>
          <w:sz w:val="20"/>
          <w:szCs w:val="20"/>
        </w:rPr>
      </w:pPr>
    </w:p>
    <w:p w14:paraId="03CBADC5" w14:textId="77777777" w:rsidR="00F04C0B" w:rsidRPr="00F04C0B" w:rsidRDefault="00F04C0B" w:rsidP="00F04C0B">
      <w:pPr>
        <w:widowControl w:val="0"/>
        <w:autoSpaceDE w:val="0"/>
        <w:autoSpaceDN w:val="0"/>
        <w:adjustRightInd w:val="0"/>
        <w:jc w:val="both"/>
        <w:rPr>
          <w:sz w:val="22"/>
          <w:szCs w:val="22"/>
        </w:rPr>
      </w:pPr>
    </w:p>
    <w:p w14:paraId="37D5FF89" w14:textId="77777777" w:rsidR="00F04C0B" w:rsidRPr="00F04C0B" w:rsidRDefault="00F04C0B" w:rsidP="00F04C0B">
      <w:pPr>
        <w:widowControl w:val="0"/>
        <w:autoSpaceDE w:val="0"/>
        <w:autoSpaceDN w:val="0"/>
        <w:adjustRightInd w:val="0"/>
        <w:jc w:val="both"/>
        <w:rPr>
          <w:sz w:val="20"/>
          <w:szCs w:val="20"/>
        </w:rPr>
      </w:pPr>
    </w:p>
    <w:p w14:paraId="2B519A86" w14:textId="2381A9CF" w:rsidR="004B3179" w:rsidRPr="008D7E3A" w:rsidRDefault="004B3179" w:rsidP="008D7E3A"/>
    <w:sectPr w:rsidR="004B3179" w:rsidRPr="008D7E3A" w:rsidSect="00F9336E">
      <w:headerReference w:type="first" r:id="rId17"/>
      <w:footerReference w:type="first" r:id="rId18"/>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10F6" w14:textId="77777777" w:rsidR="00251615" w:rsidRDefault="00251615" w:rsidP="004422FB">
      <w:r>
        <w:separator/>
      </w:r>
    </w:p>
  </w:endnote>
  <w:endnote w:type="continuationSeparator" w:id="0">
    <w:p w14:paraId="00A73CBF" w14:textId="77777777" w:rsidR="00251615" w:rsidRDefault="00251615"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ED02" w14:textId="77777777" w:rsidR="00F04C0B" w:rsidRPr="00AA6838" w:rsidRDefault="00F04C0B"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ED02" w14:textId="77777777" w:rsidR="00F04C0B" w:rsidRPr="00AA6838" w:rsidRDefault="00F04C0B"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C5EA" w14:textId="77777777" w:rsidR="00F04C0B" w:rsidRDefault="00F04C0B"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F059" w14:textId="77777777" w:rsidR="00251615" w:rsidRDefault="00251615" w:rsidP="004422FB">
      <w:r>
        <w:separator/>
      </w:r>
    </w:p>
  </w:footnote>
  <w:footnote w:type="continuationSeparator" w:id="0">
    <w:p w14:paraId="00653B1F" w14:textId="77777777" w:rsidR="00251615" w:rsidRDefault="00251615"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ED02" w14:textId="77777777" w:rsidR="00F04C0B" w:rsidRDefault="00F04C0B">
    <w:pPr>
      <w:pStyle w:val="Header"/>
    </w:pPr>
    <w:r w:rsidRPr="004F39CB">
      <w:rPr>
        <w:noProof/>
      </w:rPr>
      <w:drawing>
        <wp:inline distT="0" distB="0" distL="0" distR="0" wp14:anchorId="5DBD8594" wp14:editId="4ABA6485">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5230" w14:textId="77777777" w:rsidR="00F04C0B" w:rsidRPr="00472920" w:rsidRDefault="00F04C0B"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AA42C87"/>
    <w:multiLevelType w:val="multilevel"/>
    <w:tmpl w:val="C6E6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E7D3E"/>
    <w:multiLevelType w:val="hybridMultilevel"/>
    <w:tmpl w:val="F58CA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4977875">
    <w:abstractNumId w:val="0"/>
  </w:num>
  <w:num w:numId="2" w16cid:durableId="1845196331">
    <w:abstractNumId w:val="2"/>
  </w:num>
  <w:num w:numId="3" w16cid:durableId="411902196">
    <w:abstractNumId w:val="3"/>
  </w:num>
  <w:num w:numId="4" w16cid:durableId="30521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6511"/>
    <w:rsid w:val="000E6508"/>
    <w:rsid w:val="00134BBC"/>
    <w:rsid w:val="00144D4F"/>
    <w:rsid w:val="00153CF3"/>
    <w:rsid w:val="00172B54"/>
    <w:rsid w:val="00186A50"/>
    <w:rsid w:val="001A687F"/>
    <w:rsid w:val="001D3520"/>
    <w:rsid w:val="002049D0"/>
    <w:rsid w:val="00220F69"/>
    <w:rsid w:val="00241DEF"/>
    <w:rsid w:val="00246139"/>
    <w:rsid w:val="00251615"/>
    <w:rsid w:val="00277674"/>
    <w:rsid w:val="00296BF7"/>
    <w:rsid w:val="002E7A44"/>
    <w:rsid w:val="002F020C"/>
    <w:rsid w:val="002F47BC"/>
    <w:rsid w:val="00304DE8"/>
    <w:rsid w:val="0036369E"/>
    <w:rsid w:val="003643C1"/>
    <w:rsid w:val="00376DEC"/>
    <w:rsid w:val="0038612B"/>
    <w:rsid w:val="003A4BB3"/>
    <w:rsid w:val="003B3474"/>
    <w:rsid w:val="003B670F"/>
    <w:rsid w:val="003F3DEB"/>
    <w:rsid w:val="00401F33"/>
    <w:rsid w:val="00404B0F"/>
    <w:rsid w:val="00414E31"/>
    <w:rsid w:val="004422FB"/>
    <w:rsid w:val="004433D8"/>
    <w:rsid w:val="004562CE"/>
    <w:rsid w:val="004641B9"/>
    <w:rsid w:val="00494777"/>
    <w:rsid w:val="004B3179"/>
    <w:rsid w:val="004C2859"/>
    <w:rsid w:val="004D4E0A"/>
    <w:rsid w:val="004F383B"/>
    <w:rsid w:val="00516CAC"/>
    <w:rsid w:val="00552D47"/>
    <w:rsid w:val="00583D37"/>
    <w:rsid w:val="005A1F60"/>
    <w:rsid w:val="006131D7"/>
    <w:rsid w:val="00652DCC"/>
    <w:rsid w:val="00677F25"/>
    <w:rsid w:val="00691E45"/>
    <w:rsid w:val="006959EC"/>
    <w:rsid w:val="006A30B4"/>
    <w:rsid w:val="006B4011"/>
    <w:rsid w:val="006C4831"/>
    <w:rsid w:val="006E7AA3"/>
    <w:rsid w:val="007150B5"/>
    <w:rsid w:val="00716A75"/>
    <w:rsid w:val="00734084"/>
    <w:rsid w:val="00766EB9"/>
    <w:rsid w:val="0079268C"/>
    <w:rsid w:val="007B1C14"/>
    <w:rsid w:val="007B5113"/>
    <w:rsid w:val="007C095B"/>
    <w:rsid w:val="007E3D57"/>
    <w:rsid w:val="00833F99"/>
    <w:rsid w:val="00846F5B"/>
    <w:rsid w:val="00851166"/>
    <w:rsid w:val="0089446A"/>
    <w:rsid w:val="008A3A73"/>
    <w:rsid w:val="008A45B8"/>
    <w:rsid w:val="008A5F28"/>
    <w:rsid w:val="008B7616"/>
    <w:rsid w:val="008D7E3A"/>
    <w:rsid w:val="008E4E77"/>
    <w:rsid w:val="00903941"/>
    <w:rsid w:val="00922B4A"/>
    <w:rsid w:val="00922FCF"/>
    <w:rsid w:val="0095070C"/>
    <w:rsid w:val="00995863"/>
    <w:rsid w:val="009B15B2"/>
    <w:rsid w:val="009F16FD"/>
    <w:rsid w:val="009F32C7"/>
    <w:rsid w:val="009F7B30"/>
    <w:rsid w:val="00A213F5"/>
    <w:rsid w:val="00A30573"/>
    <w:rsid w:val="00A7343F"/>
    <w:rsid w:val="00A7489D"/>
    <w:rsid w:val="00A7711D"/>
    <w:rsid w:val="00AA2DDC"/>
    <w:rsid w:val="00AA3D35"/>
    <w:rsid w:val="00AC4D41"/>
    <w:rsid w:val="00B02C57"/>
    <w:rsid w:val="00B2632B"/>
    <w:rsid w:val="00B44E7B"/>
    <w:rsid w:val="00B4616E"/>
    <w:rsid w:val="00B4673C"/>
    <w:rsid w:val="00B51502"/>
    <w:rsid w:val="00B61191"/>
    <w:rsid w:val="00B66B45"/>
    <w:rsid w:val="00BB7014"/>
    <w:rsid w:val="00BC0F2B"/>
    <w:rsid w:val="00BC6263"/>
    <w:rsid w:val="00BC6551"/>
    <w:rsid w:val="00BF415F"/>
    <w:rsid w:val="00C36B57"/>
    <w:rsid w:val="00C528BC"/>
    <w:rsid w:val="00C53991"/>
    <w:rsid w:val="00C77462"/>
    <w:rsid w:val="00C815CE"/>
    <w:rsid w:val="00C936D4"/>
    <w:rsid w:val="00CB1EAA"/>
    <w:rsid w:val="00CB3D5C"/>
    <w:rsid w:val="00CC52F4"/>
    <w:rsid w:val="00CD55C2"/>
    <w:rsid w:val="00CE3919"/>
    <w:rsid w:val="00CE3B4D"/>
    <w:rsid w:val="00D03053"/>
    <w:rsid w:val="00D128D7"/>
    <w:rsid w:val="00D17971"/>
    <w:rsid w:val="00D46FAD"/>
    <w:rsid w:val="00D60567"/>
    <w:rsid w:val="00D74319"/>
    <w:rsid w:val="00D95C48"/>
    <w:rsid w:val="00DE728B"/>
    <w:rsid w:val="00E115D3"/>
    <w:rsid w:val="00E633E7"/>
    <w:rsid w:val="00EB5CF9"/>
    <w:rsid w:val="00EC3F8A"/>
    <w:rsid w:val="00F04C0B"/>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r@roberts-communications.co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ge.kelly@sternir.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eovax.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dge.media-server.com/mmc/p/r4i9d5j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pi.com/2076-393X/11/9/149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cp:lastPrinted>2022-05-03T12:55:00Z</cp:lastPrinted>
  <dcterms:created xsi:type="dcterms:W3CDTF">2023-11-08T20:51:00Z</dcterms:created>
  <dcterms:modified xsi:type="dcterms:W3CDTF">2023-11-08T20:51:00Z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